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5C" w:rsidRPr="00900F5C" w:rsidRDefault="00900F5C" w:rsidP="00900F5C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900F5C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5781675" cy="4914900"/>
            <wp:effectExtent l="0" t="0" r="9525" b="0"/>
            <wp:wrapThrough wrapText="bothSides">
              <wp:wrapPolygon edited="0">
                <wp:start x="0" y="0"/>
                <wp:lineTo x="0" y="21516"/>
                <wp:lineTo x="21564" y="21516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decoration\Profine\small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Profine\small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F5C" w:rsidRPr="00900F5C" w:rsidRDefault="00900F5C" w:rsidP="00900F5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00F5C">
        <w:rPr>
          <w:rFonts w:ascii="Arial" w:eastAsia="Times New Roman" w:hAnsi="Arial" w:cs="Arial"/>
          <w:color w:val="333333"/>
          <w:sz w:val="36"/>
          <w:szCs w:val="36"/>
        </w:rPr>
        <w:t>Simple End table/Coffee table</w:t>
      </w:r>
    </w:p>
    <w:p w:rsidR="00900F5C" w:rsidRPr="00900F5C" w:rsidRDefault="00900F5C" w:rsidP="00900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00F5C">
        <w:rPr>
          <w:rFonts w:ascii="Arial" w:eastAsia="Times New Roman" w:hAnsi="Arial" w:cs="Arial"/>
          <w:color w:val="333333"/>
          <w:sz w:val="24"/>
          <w:szCs w:val="24"/>
        </w:rPr>
        <w:t>$32.67</w:t>
      </w:r>
    </w:p>
    <w:p w:rsidR="00900F5C" w:rsidRDefault="00900F5C" w:rsidP="00900F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00F5C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900F5C" w:rsidRDefault="00900F5C" w:rsidP="00900F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900F5C" w:rsidRPr="00900F5C" w:rsidRDefault="00900F5C" w:rsidP="00900F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 w:rsidRPr="00900F5C">
        <w:rPr>
          <w:rFonts w:ascii="Arial" w:eastAsia="Times New Roman" w:hAnsi="Arial" w:cs="Arial"/>
          <w:color w:val="333333"/>
          <w:sz w:val="36"/>
          <w:szCs w:val="36"/>
        </w:rPr>
        <w:t>Description:</w:t>
      </w:r>
    </w:p>
    <w:p w:rsidR="00900F5C" w:rsidRPr="00900F5C" w:rsidRDefault="00900F5C" w:rsidP="00900F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00F5C">
        <w:rPr>
          <w:rFonts w:ascii="Arial" w:eastAsia="Times New Roman" w:hAnsi="Arial" w:cs="Arial"/>
          <w:color w:val="333333"/>
          <w:sz w:val="24"/>
          <w:szCs w:val="24"/>
        </w:rPr>
        <w:t>End table or bedside table unit with a structure in extra-clear glass. The distinctive feature is an elegant shelf element available in cowhide or fabric, with metal supports that can be personalized in stainless steel, brass or copper.</w:t>
      </w:r>
    </w:p>
    <w:p w:rsidR="006123E9" w:rsidRDefault="006123E9">
      <w:bookmarkStart w:id="0" w:name="_GoBack"/>
      <w:bookmarkEnd w:id="0"/>
    </w:p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5C"/>
    <w:rsid w:val="006123E9"/>
    <w:rsid w:val="0090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AC32"/>
  <w15:chartTrackingRefBased/>
  <w15:docId w15:val="{59740B31-E6C8-4955-90F5-AE93523A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0F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0F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00F5C"/>
  </w:style>
  <w:style w:type="paragraph" w:customStyle="1" w:styleId="aa-product-avilability">
    <w:name w:val="aa-product-avilability"/>
    <w:basedOn w:val="Normal"/>
    <w:rsid w:val="0090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2019-07-27T15:03:00Z</dcterms:created>
  <dcterms:modified xsi:type="dcterms:W3CDTF">2019-07-27T15:05:00Z</dcterms:modified>
</cp:coreProperties>
</file>