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Action Items</w:t>
      </w:r>
    </w:p>
    <w:p>
      <w:pPr>
        <w:spacing w:before="60" w:after="100" w:line="268"/>
      </w:pPr>
      <w:r>
        <w:rPr>
          <w:rFonts w:ascii="Arial" w:cs="Arial" w:eastAsia="Arial" w:hAnsi="Arial"/>
          <w:sz w:val="21"/>
          <w:szCs w:val="21"/>
        </w:rPr>
        <w:t xml:space="preserve">The following actions are derived directly from the demand analysis, model results, and assortment data. Each is tied to the specific data point that justifies it. Items are prioritised HIGH / MEDIUM / LOW based on revenue impact and urgency.</w:t>
      </w:r>
    </w:p>
    <w:p>
      <w:pPr>
        <w:spacing w:before="60" w:after="60"/>
      </w:pPr>
      <w:r>
        <w:t xml:space="preserve"/>
      </w:r>
    </w:p>
    <w:tbl>
      <w:tblPr>
        <w:tblW w:type="dxa" w:w="13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700"/>
        <w:gridCol w:w="1400"/>
        <w:gridCol w:w="2760"/>
        <w:gridCol w:w="12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Justification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Cut 10–15 SKUs from the $150–$199 tier, targeting Nike AF-series Metal rectangles and overlapping CK styles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/ 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64 SKUs in this tier generate only $4,017/SKU vs $6,326/SKU in $200–$249 — 57% less efficient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 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Shift freed open-to-buy from $150–$199 into the $200–$249 sweet spot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$200–$249 is highest-demand tier (32.6% share) and 2nd highest per-SKU efficiency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 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4–6 Lacoste Square/Rectangle styles in 54–55mm for AMER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Lacoste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Lacoste $200–$249 generates $10,005/SKU — best brand–tier combo in portfolio. Lacoste is only 16% of AMER vs 39% of EMEA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 buy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Floor all Hero-tier buy list SKUs by Dec 15 to capture the Jan–Mar insurance renewal peak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Ops / Buyer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Sales jump 73–80% from Dec to Mar due to benefit resets. Top 5 SKUs predict 1,003–1,294 units/month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 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CK Sun from 15 to 5–6 core SKUs, keeping only styles above 500 units/year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CK Sun averages $1,197/SKU — lowest in portfolio. 80% of SKUs are dead or 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 Lacoste Suns from 18 to 8–10 SKUs; reposition as EMEA-only specialty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Lacoste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17 of 18 Lacoste Sun SKUs are dead or slow. 84% of volume is EMEA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3–4 Nike female-specific styles in Round or Rectangle, $160–$210, sizes 54–55mm for AMER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Nike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Female SKUs are only 7% of Nike volume despite equal per-SKU productivity ($4,783 F vs $4,817 M). Nike 7280 and 4315 both exceed 4,000 units/year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Expand Titanium from 5 to 8–10 SKUs; add Lacoste Titanium at $240–$260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Nike / Lacoste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Titanium generates $9,852/SKU — 2× Acetate. Only 5 SKUs currently. Gap between Bio-Inj and $285+ premium is unfilled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separate size grids for AMER (peak 54mm) and EMEA (peak 53mm) for all new SKU additions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Buyer / 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AMER top size is 54mm (107K units), EMEA top size is 53mm (76K units) — statistically significant difference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EMEA-specific buy list; current top-10 is 9/10 Nike AMER styles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EMEA Buyer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L2707 is #1 EMEA SKU at 20,417 units. Lacoste is 39% of EMEA demand but underrepresented in planning outputs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Jan buy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2–3 Oval optical styles for AMER and EMEA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 Oval SKU generated 9,432 units — highest avg/SKU of any shape. Clear white 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2–3 Cat Eye styles; consider CK or Lacoste brand home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 / CK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Only 2 Cat Eye SKUs exist. Style is growing nationally. Visionworks has no meaningful presence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Rationalize CK Optical from 32 to 20–25 core SKUs focused on $180–$220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CK Brand Mgr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CK Optical averages $3,809/SKU — lowest optical brand. 6 dead SKUs dragging 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LOW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 seasonal launch calendar: new styles must be floor-ready by Dec 15 every 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Ops / PM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Styles arriving in Feb or later miss ~40% of their first-season potential due to Jan–Mar peak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Ongoing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2026-02-28T03:38:31.077Z</dcterms:created>
  <dcterms:modified xsi:type="dcterms:W3CDTF">2026-02-28T03:38:31.079Z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