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D979" w14:textId="4C82ED4D" w:rsidR="00831169" w:rsidRPr="00B20D2A" w:rsidRDefault="00B20D2A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0D2A">
        <w:rPr>
          <w:rFonts w:ascii="Calibri" w:hAnsi="Calibri" w:cs="Calibri"/>
          <w:b/>
          <w:bCs/>
          <w:sz w:val="28"/>
          <w:szCs w:val="28"/>
          <w:lang w:val="en-US"/>
        </w:rPr>
        <w:t>VALIDITY OF COMMERCIALLY AVAILABLE WEARABLE DEVICES FOR MEASURING STEPS, ENERGY EXPENDITURE, AND HEART RATE BY GENDER, AGE, WEAR LOCATION AND COUNTRY</w:t>
      </w:r>
    </w:p>
    <w:p w14:paraId="5C9677EC" w14:textId="5D3F0DF7" w:rsidR="00C2649F" w:rsidRPr="00B20D2A" w:rsidRDefault="00B20D2A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0D2A">
        <w:rPr>
          <w:rFonts w:ascii="Calibri" w:hAnsi="Calibri" w:cs="Calibri"/>
          <w:b/>
          <w:bCs/>
          <w:sz w:val="28"/>
          <w:szCs w:val="28"/>
          <w:lang w:val="en-US"/>
        </w:rPr>
        <w:t>Introduction</w:t>
      </w:r>
      <w:r w:rsidR="00485787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36E2118D" w14:textId="68E5EC1F" w:rsidR="00772CFD" w:rsidRPr="00B20D2A" w:rsidRDefault="00497567" w:rsidP="00497567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Level of p</w:t>
      </w:r>
      <w:r w:rsidR="00F312C2" w:rsidRPr="00B20D2A">
        <w:rPr>
          <w:rFonts w:ascii="Calibri" w:hAnsi="Calibri" w:cs="Calibri"/>
          <w:sz w:val="28"/>
          <w:szCs w:val="28"/>
          <w:lang w:val="en-US"/>
        </w:rPr>
        <w:t xml:space="preserve">hysical </w:t>
      </w:r>
      <w:r w:rsidR="00485787">
        <w:rPr>
          <w:rFonts w:ascii="Calibri" w:hAnsi="Calibri" w:cs="Calibri"/>
          <w:sz w:val="28"/>
          <w:szCs w:val="28"/>
          <w:lang w:val="en-US"/>
        </w:rPr>
        <w:t xml:space="preserve">activity </w:t>
      </w:r>
      <w:r>
        <w:rPr>
          <w:rFonts w:ascii="Calibri" w:hAnsi="Calibri" w:cs="Calibri"/>
          <w:sz w:val="28"/>
          <w:szCs w:val="28"/>
          <w:lang w:val="en-US"/>
        </w:rPr>
        <w:t xml:space="preserve">varies </w:t>
      </w:r>
      <w:r w:rsidR="00F312C2" w:rsidRPr="00B20D2A">
        <w:rPr>
          <w:rFonts w:ascii="Calibri" w:hAnsi="Calibri" w:cs="Calibri"/>
          <w:sz w:val="28"/>
          <w:szCs w:val="28"/>
          <w:lang w:val="en-US"/>
        </w:rPr>
        <w:t>according to age groups, gender</w:t>
      </w:r>
      <w:r>
        <w:rPr>
          <w:rFonts w:ascii="Calibri" w:hAnsi="Calibri" w:cs="Calibri"/>
          <w:sz w:val="28"/>
          <w:szCs w:val="28"/>
          <w:lang w:val="en-US"/>
        </w:rPr>
        <w:t>, country and health status, whether healthy or not healthy.</w:t>
      </w:r>
    </w:p>
    <w:p w14:paraId="2EAA4001" w14:textId="7607C238" w:rsidR="00772CFD" w:rsidRPr="00B20D2A" w:rsidRDefault="00F312C2" w:rsidP="00B20D2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 xml:space="preserve">In the past decade, there has been an increasing number of studies </w:t>
      </w:r>
      <w:r w:rsidR="00497567">
        <w:rPr>
          <w:rFonts w:ascii="Calibri" w:hAnsi="Calibri" w:cs="Calibri"/>
          <w:sz w:val="28"/>
          <w:szCs w:val="28"/>
          <w:lang w:val="en-US"/>
        </w:rPr>
        <w:t>(Wahl et al, 2017)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assessing the validity of </w:t>
      </w:r>
      <w:r w:rsidR="00B20D2A">
        <w:rPr>
          <w:rFonts w:ascii="Calibri" w:hAnsi="Calibri" w:cs="Calibri"/>
          <w:sz w:val="28"/>
          <w:szCs w:val="28"/>
          <w:lang w:val="en-US"/>
        </w:rPr>
        <w:t>wearables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that measure energy expenditure by comparison to a criterion standard such as indirect calorimetry or accelerometry. 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>Many of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these validation studies were conducted among healthy adult participants</w:t>
      </w:r>
      <w:r w:rsidR="00497567">
        <w:rPr>
          <w:rFonts w:ascii="Calibri" w:hAnsi="Calibri" w:cs="Calibri"/>
          <w:sz w:val="28"/>
          <w:szCs w:val="28"/>
          <w:lang w:val="en-US"/>
        </w:rPr>
        <w:t xml:space="preserve"> (Feehan et al, 2018)</w:t>
      </w:r>
      <w:r w:rsidRPr="00B20D2A">
        <w:rPr>
          <w:rFonts w:ascii="Calibri" w:hAnsi="Calibri" w:cs="Calibri"/>
          <w:sz w:val="28"/>
          <w:szCs w:val="28"/>
          <w:lang w:val="en-US"/>
        </w:rPr>
        <w:t>, with studies reporting conflicting findings</w:t>
      </w:r>
      <w:r w:rsidR="00497567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both overestimation </w:t>
      </w:r>
      <w:r w:rsidR="00CC3B14">
        <w:rPr>
          <w:rFonts w:ascii="Calibri" w:hAnsi="Calibri" w:cs="Calibri"/>
          <w:sz w:val="28"/>
          <w:szCs w:val="28"/>
          <w:lang w:val="en-US"/>
        </w:rPr>
        <w:t>(Feehan, 2018)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and underestimation </w:t>
      </w:r>
      <w:r w:rsidR="00497567">
        <w:rPr>
          <w:rFonts w:ascii="Calibri" w:hAnsi="Calibri" w:cs="Calibri"/>
          <w:sz w:val="28"/>
          <w:szCs w:val="28"/>
          <w:lang w:val="en-US"/>
        </w:rPr>
        <w:t>(Imboden, 2017)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with Fitbit devices were reported. In a recent systematic review </w:t>
      </w:r>
      <w:r w:rsidR="00CC3B14">
        <w:rPr>
          <w:rFonts w:ascii="Calibri" w:hAnsi="Calibri" w:cs="Calibri"/>
          <w:sz w:val="28"/>
          <w:szCs w:val="28"/>
          <w:lang w:val="en-US"/>
        </w:rPr>
        <w:t>(Fuller, 2019)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investigating the </w:t>
      </w:r>
      <w:r w:rsidR="00CC3B14">
        <w:rPr>
          <w:rFonts w:ascii="Calibri" w:hAnsi="Calibri" w:cs="Calibri"/>
          <w:sz w:val="28"/>
          <w:szCs w:val="28"/>
          <w:lang w:val="en-US"/>
        </w:rPr>
        <w:t>validity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of Fitbit devices, it was reported that 49% (43 of 88 comparisons) overestimated energy expenditure, particularly during physical activity. In an earlier systematic review of the field, Evenson et al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(2015) 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reported a high validity of different brands of wearable activity tracking devices regarding step count when compared to various criterion standards made in laboratory settings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(Bunn et al, 2018). 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Regarding the validity of heart rate estimations from by wrist-worn activity tracking devices, one study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(Boudreaux, 2018) </w:t>
      </w:r>
      <w:r w:rsidRPr="00B20D2A">
        <w:rPr>
          <w:rFonts w:ascii="Calibri" w:hAnsi="Calibri" w:cs="Calibri"/>
          <w:sz w:val="28"/>
          <w:szCs w:val="28"/>
          <w:lang w:val="en-US"/>
        </w:rPr>
        <w:t>have shown that the agreement between true rate and the estimated rate made by a wrist-worn device is higher during rest than during MVPA in healthy subjects.</w:t>
      </w:r>
    </w:p>
    <w:p w14:paraId="0AEE5803" w14:textId="6A571F51" w:rsidR="00356A2E" w:rsidRPr="00B20D2A" w:rsidRDefault="00F312C2" w:rsidP="00B20D2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 xml:space="preserve">There is little to no knowledge about the validity of these wearables in measuring heart rate, step count and energy expenditure based on gender, age group,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non-healthy population, </w:t>
      </w:r>
      <w:r w:rsidRPr="00B20D2A">
        <w:rPr>
          <w:rFonts w:ascii="Calibri" w:hAnsi="Calibri" w:cs="Calibri"/>
          <w:sz w:val="28"/>
          <w:szCs w:val="28"/>
          <w:lang w:val="en-US"/>
        </w:rPr>
        <w:t>location where the device is worn and the country where it is being used. Therefore, t</w:t>
      </w:r>
      <w:r w:rsidR="00356A2E" w:rsidRPr="00B20D2A">
        <w:rPr>
          <w:rFonts w:ascii="Calibri" w:hAnsi="Calibri" w:cs="Calibri"/>
          <w:sz w:val="28"/>
          <w:szCs w:val="28"/>
          <w:lang w:val="en-US"/>
        </w:rPr>
        <w:t xml:space="preserve">he purpose of this study was to provide information about the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difference in the </w:t>
      </w:r>
      <w:r w:rsidR="00356A2E" w:rsidRPr="00B20D2A">
        <w:rPr>
          <w:rFonts w:ascii="Calibri" w:hAnsi="Calibri" w:cs="Calibri"/>
          <w:sz w:val="28"/>
          <w:szCs w:val="28"/>
          <w:lang w:val="en-US"/>
        </w:rPr>
        <w:t xml:space="preserve">validity of wearables in measuring step count, heart rate, and energy expenditure in the male and female populations,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healthy and non-healthy populations, </w:t>
      </w:r>
      <w:r w:rsidR="00356A2E" w:rsidRPr="00B20D2A">
        <w:rPr>
          <w:rFonts w:ascii="Calibri" w:hAnsi="Calibri" w:cs="Calibri"/>
          <w:sz w:val="28"/>
          <w:szCs w:val="28"/>
          <w:lang w:val="en-US"/>
        </w:rPr>
        <w:t>children, adults and older adults population,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by</w:t>
      </w:r>
      <w:r w:rsidR="00356A2E" w:rsidRPr="00B20D2A">
        <w:rPr>
          <w:rFonts w:ascii="Calibri" w:hAnsi="Calibri" w:cs="Calibri"/>
          <w:sz w:val="28"/>
          <w:szCs w:val="28"/>
          <w:lang w:val="en-US"/>
        </w:rPr>
        <w:t xml:space="preserve"> different countries</w:t>
      </w:r>
      <w:r w:rsidRPr="00B20D2A">
        <w:rPr>
          <w:rFonts w:ascii="Calibri" w:hAnsi="Calibri" w:cs="Calibri"/>
          <w:sz w:val="28"/>
          <w:szCs w:val="28"/>
          <w:lang w:val="en-US"/>
        </w:rPr>
        <w:t>, and by the different parts of the body where the device was worn</w:t>
      </w:r>
      <w:r w:rsidR="00356A2E" w:rsidRPr="00B20D2A">
        <w:rPr>
          <w:rFonts w:ascii="Calibri" w:hAnsi="Calibri" w:cs="Calibri"/>
          <w:sz w:val="28"/>
          <w:szCs w:val="28"/>
          <w:lang w:val="en-US"/>
        </w:rPr>
        <w:t>.</w:t>
      </w:r>
    </w:p>
    <w:p w14:paraId="15720051" w14:textId="42A66814" w:rsidR="00356A2E" w:rsidRPr="00485787" w:rsidRDefault="00356A2E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8578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METHOD</w:t>
      </w:r>
      <w:r w:rsidR="00485787">
        <w:rPr>
          <w:rFonts w:ascii="Calibri" w:hAnsi="Calibri" w:cs="Calibri"/>
          <w:b/>
          <w:bCs/>
          <w:sz w:val="28"/>
          <w:szCs w:val="28"/>
          <w:lang w:val="en-US"/>
        </w:rPr>
        <w:t>S</w:t>
      </w:r>
    </w:p>
    <w:p w14:paraId="08010682" w14:textId="1D67A5C5" w:rsidR="00356A2E" w:rsidRPr="00B20D2A" w:rsidRDefault="00356A2E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0D2A">
        <w:rPr>
          <w:rFonts w:ascii="Calibri" w:hAnsi="Calibri" w:cs="Calibri"/>
          <w:b/>
          <w:bCs/>
          <w:sz w:val="28"/>
          <w:szCs w:val="28"/>
          <w:lang w:val="en-US"/>
        </w:rPr>
        <w:t>Design</w:t>
      </w:r>
    </w:p>
    <w:p w14:paraId="2C4F405F" w14:textId="6637EA64" w:rsidR="001713AD" w:rsidRPr="00B20D2A" w:rsidRDefault="009D33BD" w:rsidP="00B20D2A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 xml:space="preserve">This </w:t>
      </w:r>
      <w:r w:rsidR="000C5049" w:rsidRPr="00B20D2A">
        <w:rPr>
          <w:rFonts w:ascii="Calibri" w:hAnsi="Calibri" w:cs="Calibri"/>
          <w:sz w:val="28"/>
          <w:szCs w:val="28"/>
          <w:lang w:val="en-US"/>
        </w:rPr>
        <w:t xml:space="preserve">study is a descriptive quantitative design which seeks to describe and compare the differences in the criterion validity of the wearables based on gender, age,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health status, </w:t>
      </w:r>
      <w:r w:rsidR="000C5049" w:rsidRPr="00B20D2A">
        <w:rPr>
          <w:rFonts w:ascii="Calibri" w:hAnsi="Calibri" w:cs="Calibri"/>
          <w:sz w:val="28"/>
          <w:szCs w:val="28"/>
          <w:lang w:val="en-US"/>
        </w:rPr>
        <w:t>part of the body and the country location.</w:t>
      </w:r>
    </w:p>
    <w:p w14:paraId="78AE632A" w14:textId="02FC2D91" w:rsidR="00E86206" w:rsidRDefault="00ED64AC" w:rsidP="00C04CCE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>The research question to be answered will be “</w:t>
      </w:r>
      <w:r w:rsidR="00C04CCE">
        <w:rPr>
          <w:rFonts w:ascii="Calibri" w:hAnsi="Calibri" w:cs="Calibri"/>
          <w:sz w:val="28"/>
          <w:szCs w:val="28"/>
          <w:lang w:val="en-US"/>
        </w:rPr>
        <w:t>Does variability in gender, age,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 health status,</w:t>
      </w:r>
      <w:r w:rsidR="00C04CCE">
        <w:rPr>
          <w:rFonts w:ascii="Calibri" w:hAnsi="Calibri" w:cs="Calibri"/>
          <w:sz w:val="28"/>
          <w:szCs w:val="28"/>
          <w:lang w:val="en-US"/>
        </w:rPr>
        <w:t xml:space="preserve"> country and part of body on which the device is worn affect the </w:t>
      </w:r>
      <w:r w:rsidRPr="00B20D2A">
        <w:rPr>
          <w:rFonts w:ascii="Calibri" w:hAnsi="Calibri" w:cs="Calibri"/>
          <w:sz w:val="28"/>
          <w:szCs w:val="28"/>
          <w:lang w:val="en-US"/>
        </w:rPr>
        <w:t>validity of wearable</w:t>
      </w:r>
      <w:r w:rsidR="00C04CCE">
        <w:rPr>
          <w:rFonts w:ascii="Calibri" w:hAnsi="Calibri" w:cs="Calibri"/>
          <w:sz w:val="28"/>
          <w:szCs w:val="28"/>
          <w:lang w:val="en-US"/>
        </w:rPr>
        <w:t xml:space="preserve"> devices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in measuring step count, heart rate and energy expenditure</w:t>
      </w:r>
      <w:r w:rsidR="00C04CCE">
        <w:rPr>
          <w:rFonts w:ascii="Calibri" w:hAnsi="Calibri" w:cs="Calibri"/>
          <w:sz w:val="28"/>
          <w:szCs w:val="28"/>
          <w:lang w:val="en-US"/>
        </w:rPr>
        <w:t>?”.</w:t>
      </w:r>
    </w:p>
    <w:p w14:paraId="568FBC1D" w14:textId="064B968E" w:rsidR="00C04CCE" w:rsidRPr="00C04CCE" w:rsidRDefault="00C04CCE" w:rsidP="00C04CCE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04CCE">
        <w:rPr>
          <w:rFonts w:ascii="Calibri" w:hAnsi="Calibri" w:cs="Calibri"/>
          <w:b/>
          <w:bCs/>
          <w:sz w:val="28"/>
          <w:szCs w:val="28"/>
          <w:lang w:val="en-US"/>
        </w:rPr>
        <w:t>Null Hypothesis</w:t>
      </w:r>
    </w:p>
    <w:p w14:paraId="1CDB7A7D" w14:textId="4E1AE86E" w:rsidR="00C04CCE" w:rsidRPr="00B20D2A" w:rsidRDefault="00C04CCE" w:rsidP="00C04CCE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There will be no difference in the validity of wearable devices due to gender, age, </w:t>
      </w:r>
      <w:r w:rsidR="00CC3B14">
        <w:rPr>
          <w:rFonts w:ascii="Calibri" w:hAnsi="Calibri" w:cs="Calibri"/>
          <w:sz w:val="28"/>
          <w:szCs w:val="28"/>
          <w:lang w:val="en-US"/>
        </w:rPr>
        <w:t xml:space="preserve">health status, </w:t>
      </w:r>
      <w:r>
        <w:rPr>
          <w:rFonts w:ascii="Calibri" w:hAnsi="Calibri" w:cs="Calibri"/>
          <w:sz w:val="28"/>
          <w:szCs w:val="28"/>
          <w:lang w:val="en-US"/>
        </w:rPr>
        <w:t>country and part of body on which the device is worn in measuring step count, heart rate and energy expenditure.</w:t>
      </w:r>
    </w:p>
    <w:p w14:paraId="4619E665" w14:textId="4AF5F004" w:rsidR="000C5049" w:rsidRPr="00B20D2A" w:rsidRDefault="000C5049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0D2A">
        <w:rPr>
          <w:rFonts w:ascii="Calibri" w:hAnsi="Calibri" w:cs="Calibri"/>
          <w:b/>
          <w:bCs/>
          <w:sz w:val="28"/>
          <w:szCs w:val="28"/>
          <w:lang w:val="en-US"/>
        </w:rPr>
        <w:t>Data</w:t>
      </w:r>
    </w:p>
    <w:p w14:paraId="5805B63F" w14:textId="4AD9BF46" w:rsidR="000C5049" w:rsidRPr="00B20D2A" w:rsidRDefault="000C5049" w:rsidP="00B20D2A">
      <w:pPr>
        <w:tabs>
          <w:tab w:val="left" w:pos="5610"/>
        </w:tabs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 xml:space="preserve">The 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>public</w:t>
      </w:r>
      <w:r w:rsidR="001611B2" w:rsidRPr="00B20D2A">
        <w:rPr>
          <w:rFonts w:ascii="Calibri" w:hAnsi="Calibri" w:cs="Calibri"/>
          <w:sz w:val="28"/>
          <w:szCs w:val="28"/>
          <w:lang w:val="en-US"/>
        </w:rPr>
        <w:t>ly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 available </w:t>
      </w:r>
      <w:r w:rsidRPr="00B20D2A">
        <w:rPr>
          <w:rFonts w:ascii="Calibri" w:hAnsi="Calibri" w:cs="Calibri"/>
          <w:sz w:val="28"/>
          <w:szCs w:val="28"/>
          <w:lang w:val="en-US"/>
        </w:rPr>
        <w:t>dataset used in this study was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D2A">
        <w:rPr>
          <w:rFonts w:ascii="Calibri" w:hAnsi="Calibri" w:cs="Calibri"/>
          <w:sz w:val="28"/>
          <w:szCs w:val="28"/>
          <w:lang w:val="en-US"/>
        </w:rPr>
        <w:t>the result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>ing data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of 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a </w:t>
      </w:r>
      <w:r w:rsidR="00C04CCE">
        <w:rPr>
          <w:rFonts w:ascii="Calibri" w:hAnsi="Calibri" w:cs="Calibri"/>
          <w:sz w:val="28"/>
          <w:szCs w:val="28"/>
          <w:lang w:val="en-US"/>
        </w:rPr>
        <w:t>systematic review carried out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 xml:space="preserve">by 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Fuller 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>(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>2019) on the</w:t>
      </w:r>
      <w:r w:rsidRPr="00B20D2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validity of consumer wearables, and was downloaded </w:t>
      </w:r>
      <w:r w:rsidR="00B20D2A" w:rsidRPr="00B20D2A">
        <w:rPr>
          <w:rFonts w:ascii="Calibri" w:hAnsi="Calibri" w:cs="Calibri"/>
          <w:sz w:val="28"/>
          <w:szCs w:val="28"/>
          <w:lang w:val="en-US"/>
        </w:rPr>
        <w:t>from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 the </w:t>
      </w:r>
      <w:r w:rsidR="001611B2" w:rsidRPr="00B20D2A">
        <w:rPr>
          <w:rFonts w:ascii="Calibri" w:hAnsi="Calibri" w:cs="Calibri"/>
          <w:sz w:val="28"/>
          <w:szCs w:val="28"/>
          <w:lang w:val="en-US"/>
        </w:rPr>
        <w:t>BeapLab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 Dataverse website</w:t>
      </w:r>
      <w:r w:rsidR="001611B2" w:rsidRPr="00B20D2A">
        <w:rPr>
          <w:rFonts w:ascii="Calibri" w:hAnsi="Calibri" w:cs="Calibri"/>
          <w:sz w:val="28"/>
          <w:szCs w:val="28"/>
          <w:lang w:val="en-US"/>
        </w:rPr>
        <w:t xml:space="preserve"> (Harvard Dataverse, 2019)</w:t>
      </w:r>
      <w:r w:rsidR="005C22C3" w:rsidRPr="00B20D2A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0D135011" w14:textId="3B45CB8E" w:rsidR="00356A2E" w:rsidRPr="00B20D2A" w:rsidRDefault="001611B2" w:rsidP="00B20D2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20D2A">
        <w:rPr>
          <w:rFonts w:ascii="Calibri" w:hAnsi="Calibri" w:cs="Calibri"/>
          <w:b/>
          <w:bCs/>
          <w:sz w:val="28"/>
          <w:szCs w:val="28"/>
          <w:lang w:val="en-US"/>
        </w:rPr>
        <w:t>Analysis Plan</w:t>
      </w:r>
    </w:p>
    <w:p w14:paraId="11412CC1" w14:textId="2FAE406B" w:rsidR="006E5D14" w:rsidRDefault="001611B2" w:rsidP="006E5D14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20D2A">
        <w:rPr>
          <w:rFonts w:ascii="Calibri" w:hAnsi="Calibri" w:cs="Calibri"/>
          <w:sz w:val="28"/>
          <w:szCs w:val="28"/>
          <w:lang w:val="en-US"/>
        </w:rPr>
        <w:t xml:space="preserve">All quantitative analyses and plots will be done using RStudio version 1.4.1106 (RStudio Inc) and R version 4.0.4 (The R Foundation). </w:t>
      </w:r>
      <w:r w:rsidR="006E5D14">
        <w:rPr>
          <w:rFonts w:ascii="Calibri" w:hAnsi="Calibri" w:cs="Calibri"/>
          <w:sz w:val="28"/>
          <w:szCs w:val="28"/>
          <w:lang w:val="en-US"/>
        </w:rPr>
        <w:t>The dataset will be imported into RStudio, cleaned and analyzed.</w:t>
      </w:r>
    </w:p>
    <w:p w14:paraId="2AC06132" w14:textId="2954CC0C" w:rsidR="006E5D14" w:rsidRDefault="006E5D14" w:rsidP="006E5D14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variables that are necessary for the analysis will be checked for missing values. This includes population of male, population of female, </w:t>
      </w:r>
      <w:r w:rsidR="00C04CCE">
        <w:rPr>
          <w:rFonts w:ascii="Calibri" w:hAnsi="Calibri" w:cs="Calibri"/>
          <w:sz w:val="28"/>
          <w:szCs w:val="28"/>
          <w:lang w:val="en-US"/>
        </w:rPr>
        <w:t xml:space="preserve">mean age, the location where the study was carried out, the part of the body the device was worn, the mean percentage error, the study setting, and the outcomes measured.  </w:t>
      </w:r>
      <w:r>
        <w:rPr>
          <w:rFonts w:ascii="Calibri" w:hAnsi="Calibri" w:cs="Calibri"/>
          <w:sz w:val="28"/>
          <w:szCs w:val="28"/>
          <w:lang w:val="en-US"/>
        </w:rPr>
        <w:t xml:space="preserve">Correlation comparisons and group percentage difference will be used as metrics for criterion validity. </w:t>
      </w:r>
      <w:r w:rsidRPr="006E5D14">
        <w:rPr>
          <w:rFonts w:ascii="Calibri" w:hAnsi="Calibri" w:cs="Calibri"/>
          <w:sz w:val="28"/>
          <w:szCs w:val="28"/>
          <w:lang w:val="en-US"/>
        </w:rPr>
        <w:t xml:space="preserve">Where group percentage differences were </w:t>
      </w:r>
      <w:r w:rsidRPr="006E5D14">
        <w:rPr>
          <w:rFonts w:ascii="Calibri" w:hAnsi="Calibri" w:cs="Calibri"/>
          <w:sz w:val="28"/>
          <w:szCs w:val="28"/>
          <w:lang w:val="en-US"/>
        </w:rPr>
        <w:lastRenderedPageBreak/>
        <w:t>not reported,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E5D14">
        <w:rPr>
          <w:rFonts w:ascii="Calibri" w:hAnsi="Calibri" w:cs="Calibri"/>
          <w:sz w:val="28"/>
          <w:szCs w:val="28"/>
          <w:lang w:val="en-US"/>
        </w:rPr>
        <w:t>group percentage error</w:t>
      </w:r>
      <w:r>
        <w:rPr>
          <w:rFonts w:ascii="Calibri" w:hAnsi="Calibri" w:cs="Calibri"/>
          <w:sz w:val="28"/>
          <w:szCs w:val="28"/>
          <w:lang w:val="en-US"/>
        </w:rPr>
        <w:t xml:space="preserve"> was calculated as</w:t>
      </w:r>
      <w:r w:rsidRPr="006E5D14">
        <w:rPr>
          <w:rFonts w:ascii="Calibri" w:hAnsi="Calibri" w:cs="Calibri"/>
          <w:sz w:val="28"/>
          <w:szCs w:val="28"/>
          <w:lang w:val="en-US"/>
        </w:rPr>
        <w:t xml:space="preserve"> ([wearable</w:t>
      </w:r>
      <w:r w:rsidRPr="00D6231D">
        <w:rPr>
          <w:rFonts w:ascii="Calibri" w:hAnsi="Calibri" w:cs="Calibri"/>
          <w:sz w:val="24"/>
          <w:szCs w:val="24"/>
          <w:lang w:val="en-US"/>
        </w:rPr>
        <w:t>mean</w:t>
      </w:r>
      <w:r w:rsidRPr="006E5D14">
        <w:rPr>
          <w:rFonts w:ascii="Calibri" w:hAnsi="Calibri" w:cs="Calibri"/>
          <w:sz w:val="28"/>
          <w:szCs w:val="28"/>
          <w:lang w:val="en-US"/>
        </w:rPr>
        <w:t xml:space="preserve"> – criterion</w:t>
      </w:r>
      <w:r w:rsidRPr="00D6231D">
        <w:rPr>
          <w:rFonts w:ascii="Calibri" w:hAnsi="Calibri" w:cs="Calibri"/>
          <w:sz w:val="24"/>
          <w:szCs w:val="24"/>
          <w:lang w:val="en-US"/>
        </w:rPr>
        <w:t>mean</w:t>
      </w:r>
      <w:r w:rsidRPr="006E5D14">
        <w:rPr>
          <w:rFonts w:ascii="Calibri" w:hAnsi="Calibri" w:cs="Calibri"/>
          <w:sz w:val="28"/>
          <w:szCs w:val="28"/>
          <w:lang w:val="en-US"/>
        </w:rPr>
        <w:t>]/criterion</w:t>
      </w:r>
      <w:r w:rsidRPr="00D6231D">
        <w:rPr>
          <w:rFonts w:ascii="Calibri" w:hAnsi="Calibri" w:cs="Calibri"/>
          <w:sz w:val="24"/>
          <w:szCs w:val="24"/>
          <w:lang w:val="en-US"/>
        </w:rPr>
        <w:t>mean</w:t>
      </w:r>
      <w:r w:rsidRPr="006E5D14">
        <w:rPr>
          <w:rFonts w:ascii="Calibri" w:hAnsi="Calibri" w:cs="Calibri"/>
          <w:sz w:val="28"/>
          <w:szCs w:val="28"/>
          <w:lang w:val="en-US"/>
        </w:rPr>
        <w:t xml:space="preserve"> × 100) to allow for comparison across studies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0104240B" w14:textId="6BF551BB" w:rsidR="006E5D14" w:rsidRDefault="00D6231D" w:rsidP="006E5D14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mean age of the participants in each study will be used to categorized them into groups as categorized by the CDC for age-recommended guidelines for Physical Activity:</w:t>
      </w:r>
    </w:p>
    <w:p w14:paraId="3D4D5444" w14:textId="7BA68031" w:rsidR="00D6231D" w:rsidRDefault="00D6231D" w:rsidP="00D623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Children (5 – 11)</w:t>
      </w:r>
    </w:p>
    <w:p w14:paraId="3D90C9FE" w14:textId="14B5CCAE" w:rsidR="00D6231D" w:rsidRDefault="00C66819" w:rsidP="00D623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Adolescents</w:t>
      </w:r>
      <w:r w:rsidR="00D6231D">
        <w:rPr>
          <w:rFonts w:ascii="Calibri" w:hAnsi="Calibri" w:cs="Calibri"/>
          <w:sz w:val="28"/>
          <w:szCs w:val="28"/>
          <w:lang w:val="en-US"/>
        </w:rPr>
        <w:t xml:space="preserve"> (12 – 17)</w:t>
      </w:r>
    </w:p>
    <w:p w14:paraId="14ED08C9" w14:textId="6545B151" w:rsidR="00D6231D" w:rsidRDefault="00D6231D" w:rsidP="00D623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Adults (18 – 64)</w:t>
      </w:r>
    </w:p>
    <w:p w14:paraId="3DB067DD" w14:textId="7C7F5A7C" w:rsidR="00D6231D" w:rsidRDefault="00D6231D" w:rsidP="00D623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Older adults (65 and above)</w:t>
      </w:r>
    </w:p>
    <w:p w14:paraId="3CBF36C4" w14:textId="7BCBBA33" w:rsidR="00D6231D" w:rsidRDefault="00D6231D" w:rsidP="00497567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percentage of males and females in a particular study will be determined, and the gender with the higher percentage will be the labelled as the study’s main gender.</w:t>
      </w:r>
      <w:r w:rsidR="00497567">
        <w:rPr>
          <w:rFonts w:ascii="Calibri" w:hAnsi="Calibri" w:cs="Calibri"/>
          <w:sz w:val="28"/>
          <w:szCs w:val="28"/>
          <w:lang w:val="en-US"/>
        </w:rPr>
        <w:t xml:space="preserve"> Healthy and non-healthy populations, and the part of the body where the device is worn on for the activity will remain the same.</w:t>
      </w:r>
    </w:p>
    <w:p w14:paraId="338200B7" w14:textId="76DA50EC" w:rsidR="00497567" w:rsidRDefault="00D6231D" w:rsidP="00497567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objective of this study is to check the differences based on the country in which the study was carried out. The locations of the studies will be recoded as a single country and not by states. All states in USA will be recoded as USA only and the same process will be done for other countries too.</w:t>
      </w:r>
      <w:r w:rsidR="00497567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7B477874" w14:textId="231CCC66" w:rsidR="00D6231D" w:rsidRDefault="00497567" w:rsidP="00D6231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groups will be visualized using bar charts and a</w:t>
      </w:r>
      <w:r w:rsidR="00D6231D">
        <w:rPr>
          <w:rFonts w:ascii="Calibri" w:hAnsi="Calibri" w:cs="Calibri"/>
          <w:sz w:val="28"/>
          <w:szCs w:val="28"/>
          <w:lang w:val="en-US"/>
        </w:rPr>
        <w:t xml:space="preserve">ll groups with less than 30 </w:t>
      </w:r>
      <w:r>
        <w:rPr>
          <w:rFonts w:ascii="Calibri" w:hAnsi="Calibri" w:cs="Calibri"/>
          <w:sz w:val="28"/>
          <w:szCs w:val="28"/>
          <w:lang w:val="en-US"/>
        </w:rPr>
        <w:t>values will be excluded and filtered out when doing the comparisons. Missing values will be removed, replaced or calculated for, depending on the variables under which they occur.</w:t>
      </w:r>
    </w:p>
    <w:p w14:paraId="22DA21D3" w14:textId="050F9A7D" w:rsidR="00497567" w:rsidRDefault="00497567" w:rsidP="00D6231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</w:t>
      </w:r>
      <w:r w:rsidRPr="00497567">
        <w:rPr>
          <w:rFonts w:ascii="Calibri" w:hAnsi="Calibri" w:cs="Calibri"/>
          <w:sz w:val="28"/>
          <w:szCs w:val="28"/>
          <w:lang w:val="en-US"/>
        </w:rPr>
        <w:t xml:space="preserve"> interpretation of measurement accuracy w</w:t>
      </w:r>
      <w:r>
        <w:rPr>
          <w:rFonts w:ascii="Calibri" w:hAnsi="Calibri" w:cs="Calibri"/>
          <w:sz w:val="28"/>
          <w:szCs w:val="28"/>
          <w:lang w:val="en-US"/>
        </w:rPr>
        <w:t>ill be</w:t>
      </w:r>
      <w:r w:rsidRPr="00497567">
        <w:rPr>
          <w:rFonts w:ascii="Calibri" w:hAnsi="Calibri" w:cs="Calibri"/>
          <w:sz w:val="28"/>
          <w:szCs w:val="28"/>
          <w:lang w:val="en-US"/>
        </w:rPr>
        <w:t xml:space="preserve"> focused on acceptable limits of percentage difference of ±3% in controlled settings and percentage difference of ±10% in free-living settings, as outlined in previous work </w:t>
      </w:r>
      <w:r>
        <w:rPr>
          <w:rFonts w:ascii="Calibri" w:hAnsi="Calibri" w:cs="Calibri"/>
          <w:sz w:val="28"/>
          <w:szCs w:val="28"/>
          <w:lang w:val="en-US"/>
        </w:rPr>
        <w:t>(Feehan et al, 2018).</w:t>
      </w:r>
    </w:p>
    <w:p w14:paraId="617AD1FD" w14:textId="4DEBE693" w:rsidR="00497567" w:rsidRPr="00B20D2A" w:rsidRDefault="00497567" w:rsidP="00D6231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497567" w:rsidRPr="00B20D2A" w:rsidSect="00ED64A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16C33"/>
    <w:multiLevelType w:val="hybridMultilevel"/>
    <w:tmpl w:val="4AE8FC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9F"/>
    <w:rsid w:val="000C5049"/>
    <w:rsid w:val="001611B2"/>
    <w:rsid w:val="001713AD"/>
    <w:rsid w:val="001B55F4"/>
    <w:rsid w:val="00356A2E"/>
    <w:rsid w:val="003749FF"/>
    <w:rsid w:val="003C3064"/>
    <w:rsid w:val="00485787"/>
    <w:rsid w:val="00497567"/>
    <w:rsid w:val="0057625A"/>
    <w:rsid w:val="005C22C3"/>
    <w:rsid w:val="006A1003"/>
    <w:rsid w:val="006E5D14"/>
    <w:rsid w:val="00772CFD"/>
    <w:rsid w:val="00831169"/>
    <w:rsid w:val="00923A4C"/>
    <w:rsid w:val="009D33BD"/>
    <w:rsid w:val="00AE602C"/>
    <w:rsid w:val="00B20D2A"/>
    <w:rsid w:val="00C04CCE"/>
    <w:rsid w:val="00C2649F"/>
    <w:rsid w:val="00C66819"/>
    <w:rsid w:val="00CC3B14"/>
    <w:rsid w:val="00D225BC"/>
    <w:rsid w:val="00D6231D"/>
    <w:rsid w:val="00E86206"/>
    <w:rsid w:val="00ED64AC"/>
    <w:rsid w:val="00F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CFEC"/>
  <w15:chartTrackingRefBased/>
  <w15:docId w15:val="{350AC88A-2E65-41ED-A7A8-F2E168C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2A"/>
  </w:style>
  <w:style w:type="paragraph" w:styleId="Heading1">
    <w:name w:val="heading 1"/>
    <w:basedOn w:val="Normal"/>
    <w:next w:val="Normal"/>
    <w:link w:val="Heading1Char"/>
    <w:uiPriority w:val="9"/>
    <w:qFormat/>
    <w:rsid w:val="00B20D2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D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D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D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D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2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D2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D2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D2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D2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2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2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2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2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D2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0D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0D2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0D2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0D2A"/>
    <w:rPr>
      <w:b/>
      <w:bCs/>
    </w:rPr>
  </w:style>
  <w:style w:type="character" w:styleId="Emphasis">
    <w:name w:val="Emphasis"/>
    <w:basedOn w:val="DefaultParagraphFont"/>
    <w:uiPriority w:val="20"/>
    <w:qFormat/>
    <w:rsid w:val="00B20D2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0D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D2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0D2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2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2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0D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0D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0D2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0D2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0D2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D2A"/>
    <w:pPr>
      <w:outlineLvl w:val="9"/>
    </w:pPr>
  </w:style>
  <w:style w:type="paragraph" w:styleId="ListParagraph">
    <w:name w:val="List Paragraph"/>
    <w:basedOn w:val="Normal"/>
    <w:uiPriority w:val="34"/>
    <w:qFormat/>
    <w:rsid w:val="00D6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5F8A-9B34-4C32-B8DA-496768D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Sumayyah Bamidele Musa</dc:creator>
  <cp:keywords/>
  <dc:description/>
  <cp:lastModifiedBy>Sumayyah Bamidele Musa</cp:lastModifiedBy>
  <cp:revision>5</cp:revision>
  <dcterms:created xsi:type="dcterms:W3CDTF">2021-03-12T08:52:00Z</dcterms:created>
  <dcterms:modified xsi:type="dcterms:W3CDTF">2021-03-16T23:43:00Z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c2eb8850-5230-391d-a945-ae631c4e7a29</vt:lpwstr>
  </property>
  <property fmtid="{D5CDD505-2E9C-101B-9397-08002B2CF9AE}" pid="4" name="Mendeley Citation Style_1">
    <vt:lpwstr>http://www.zotero.org/styles/apa</vt:lpwstr>
  </property>
</Properties>
</file>