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pPr>
      <w:r>
        <w:rPr>
          <w:b/>
          <w:color w:val="2E5C8A"/>
          <w:sz w:val="18"/>
        </w:rPr>
        <w:t>NVIDIA × NEBIUS GLOBAL AI HACKATHON 2026</w:t>
      </w:r>
    </w:p>
    <w:p>
      <w:pPr>
        <w:spacing w:before="0" w:after="0"/>
      </w:pPr>
      <w:r>
        <w:rPr>
          <w:b/>
          <w:color w:val="1F3864"/>
          <w:sz w:val="80"/>
        </w:rPr>
        <w:t>CallLens</w:t>
      </w:r>
    </w:p>
    <w:p>
      <w:pPr>
        <w:spacing w:before="80" w:after="280"/>
      </w:pPr>
      <w:r>
        <w:rPr>
          <w:color w:val="3F4E63"/>
          <w:sz w:val="26"/>
        </w:rPr>
        <w:t>A support call console where three NVIDIA Nemotron models share the work, and the caller only ever waits for the smallest one</w:t>
      </w:r>
    </w:p>
    <w:p>
      <w:pPr>
        <w:spacing w:after="80"/>
        <w:jc w:val="center"/>
      </w:pPr>
      <w:r>
        <w:drawing>
          <wp:inline xmlns:a="http://schemas.openxmlformats.org/drawingml/2006/main" xmlns:pic="http://schemas.openxmlformats.org/drawingml/2006/picture">
            <wp:extent cx="6035040" cy="4048824"/>
            <wp:docPr id="1" name="Picture 1"/>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6035040" cy="4048824"/>
                    </a:xfrm>
                    <a:prstGeom prst="rect"/>
                  </pic:spPr>
                </pic:pic>
              </a:graphicData>
            </a:graphic>
          </wp:inline>
        </w:drawing>
      </w:r>
    </w:p>
    <w:p>
      <w:pPr>
        <w:spacing w:after="320"/>
        <w:jc w:val="center"/>
      </w:pPr>
      <w:r>
        <w:rPr>
          <w:i/>
          <w:color w:val="5A5A5A"/>
          <w:sz w:val="17"/>
        </w:rPr>
        <w:t>Aria answers the call. Nemotron Nano classifies it, Super speaks it, Ultra writes it down.</w:t>
      </w:r>
    </w:p>
    <w:p>
      <w:pPr>
        <w:spacing w:before="0" w:after="280" w:line="288" w:lineRule="auto"/>
        <w:ind w:left="173"/>
        <w:pBdr>
          <w:bottom w:val="single" w:sz="4" w:space="10" w:color="D3DCE8"/>
        </w:pBdr>
      </w:pPr>
      <w:r>
        <w:rPr>
          <w:color w:val="3F4E63"/>
          <w:sz w:val="20"/>
        </w:rPr>
        <w:t>CallLens turns a routine support call into two artefacts — a conversation the caller can hear, and a structured record the business can use. It runs on Nebius Token Factory, uses three NVIDIA open models, and needs nothing installed beyond Node.js.</w:t>
      </w:r>
    </w:p>
    <w:tbl>
      <w:tblPr>
        <w:tblW w:type="auto" w:w="0"/>
        <w:tblLayout w:type="fixed"/>
        <w:tblLook w:firstColumn="1" w:firstRow="1" w:lastColumn="0" w:lastRow="0" w:noHBand="0" w:noVBand="1" w:val="04A0"/>
      </w:tblPr>
      <w:tblGrid>
        <w:gridCol w:w="2160"/>
        <w:gridCol w:w="7200"/>
      </w:tblGrid>
      <w:tr>
        <w:tc>
          <w:tcPr>
            <w:tcW w:type="dxa" w:w="2160"/>
          </w:tcPr>
          <w:p>
            <w:pPr>
              <w:spacing w:after="60"/>
            </w:pPr>
            <w:r>
              <w:rPr>
                <w:b/>
                <w:color w:val="1F3864"/>
                <w:sz w:val="18"/>
              </w:rPr>
              <w:t>Event</w:t>
            </w:r>
          </w:p>
        </w:tc>
        <w:tc>
          <w:tcPr>
            <w:tcW w:type="dxa" w:w="7200"/>
          </w:tcPr>
          <w:p>
            <w:pPr>
              <w:spacing w:after="60"/>
            </w:pPr>
            <w:r>
              <w:rPr>
                <w:color w:val="3F4E63"/>
                <w:sz w:val="18"/>
              </w:rPr>
              <w:t>NVIDIA × Nebius Global AI Hackathon</w:t>
            </w:r>
          </w:p>
        </w:tc>
      </w:tr>
      <w:tr>
        <w:tc>
          <w:tcPr>
            <w:tcW w:type="dxa" w:w="2160"/>
          </w:tcPr>
          <w:p>
            <w:pPr>
              <w:spacing w:after="60"/>
            </w:pPr>
            <w:r>
              <w:rPr>
                <w:b/>
                <w:color w:val="1F3864"/>
                <w:sz w:val="18"/>
              </w:rPr>
              <w:t>Track</w:t>
            </w:r>
          </w:p>
        </w:tc>
        <w:tc>
          <w:tcPr>
            <w:tcW w:type="dxa" w:w="7200"/>
          </w:tcPr>
          <w:p>
            <w:pPr>
              <w:spacing w:after="60"/>
            </w:pPr>
            <w:r>
              <w:rPr>
                <w:color w:val="3F4E63"/>
                <w:sz w:val="18"/>
              </w:rPr>
              <w:t>Best Apps and Agents</w:t>
            </w:r>
          </w:p>
        </w:tc>
      </w:tr>
      <w:tr>
        <w:tc>
          <w:tcPr>
            <w:tcW w:type="dxa" w:w="2160"/>
          </w:tcPr>
          <w:p>
            <w:pPr>
              <w:spacing w:after="60"/>
            </w:pPr>
            <w:r>
              <w:rPr>
                <w:b/>
                <w:color w:val="1F3864"/>
                <w:sz w:val="18"/>
              </w:rPr>
              <w:t>Build window</w:t>
            </w:r>
          </w:p>
        </w:tc>
        <w:tc>
          <w:tcPr>
            <w:tcW w:type="dxa" w:w="7200"/>
          </w:tcPr>
          <w:p>
            <w:pPr>
              <w:spacing w:after="60"/>
            </w:pPr>
            <w:r>
              <w:rPr>
                <w:color w:val="3F4E63"/>
                <w:sz w:val="18"/>
              </w:rPr>
              <w:t>28 – 30 October 2026</w:t>
            </w:r>
          </w:p>
        </w:tc>
      </w:tr>
      <w:tr>
        <w:tc>
          <w:tcPr>
            <w:tcW w:type="dxa" w:w="2160"/>
          </w:tcPr>
          <w:p>
            <w:pPr>
              <w:spacing w:after="60"/>
            </w:pPr>
            <w:r>
              <w:rPr>
                <w:b/>
                <w:color w:val="1F3864"/>
                <w:sz w:val="18"/>
              </w:rPr>
              <w:t>Prototype status</w:t>
            </w:r>
          </w:p>
        </w:tc>
        <w:tc>
          <w:tcPr>
            <w:tcW w:type="dxa" w:w="7200"/>
          </w:tcPr>
          <w:p>
            <w:pPr>
              <w:spacing w:after="60"/>
            </w:pPr>
            <w:r>
              <w:rPr>
                <w:color w:val="3F4E63"/>
                <w:sz w:val="18"/>
              </w:rPr>
              <w:t>Working end to end in mock mode; live path wired and awaiting an API key</w:t>
            </w:r>
          </w:p>
        </w:tc>
      </w:tr>
      <w:tr>
        <w:tc>
          <w:tcPr>
            <w:tcW w:type="dxa" w:w="2160"/>
          </w:tcPr>
          <w:p>
            <w:pPr>
              <w:spacing w:after="60"/>
            </w:pPr>
            <w:r>
              <w:rPr>
                <w:b/>
                <w:color w:val="1F3864"/>
                <w:sz w:val="18"/>
              </w:rPr>
              <w:t>Repository</w:t>
            </w:r>
          </w:p>
        </w:tc>
        <w:tc>
          <w:tcPr>
            <w:tcW w:type="dxa" w:w="7200"/>
          </w:tcPr>
          <w:p>
            <w:pPr>
              <w:spacing w:after="60"/>
            </w:pPr>
            <w:r>
              <w:rPr>
                <w:color w:val="3F4E63"/>
                <w:sz w:val="18"/>
              </w:rPr>
              <w:t>Public GitHub repository, Apache 2.0</w:t>
            </w:r>
          </w:p>
        </w:tc>
      </w:tr>
      <w:tr>
        <w:tc>
          <w:tcPr>
            <w:tcW w:type="dxa" w:w="2160"/>
          </w:tcPr>
          <w:p>
            <w:pPr>
              <w:spacing w:after="60"/>
            </w:pPr>
            <w:r>
              <w:rPr>
                <w:b/>
                <w:color w:val="1F3864"/>
                <w:sz w:val="18"/>
              </w:rPr>
              <w:t>Live demo</w:t>
            </w:r>
          </w:p>
        </w:tc>
        <w:tc>
          <w:tcPr>
            <w:tcW w:type="dxa" w:w="7200"/>
          </w:tcPr>
          <w:p>
            <w:pPr>
              <w:spacing w:after="60"/>
            </w:pPr>
            <w:r>
              <w:rPr>
                <w:color w:val="3F4E63"/>
                <w:sz w:val="18"/>
              </w:rPr>
              <w:t>Deployed on Render — link submitted with the entry</w:t>
            </w:r>
          </w:p>
        </w:tc>
      </w:tr>
    </w:tbl>
    <w:p>
      <w:r>
        <w:br w:type="page"/>
      </w:r>
    </w:p>
    <w:p>
      <w:pPr>
        <w:keepNext/>
        <w:spacing w:before="280" w:after="80"/>
        <w:pBdr>
          <w:bottom w:val="single" w:sz="6" w:space="3" w:color="2E5C8A"/>
        </w:pBdr>
      </w:pPr>
      <w:r>
        <w:rPr>
          <w:b/>
          <w:color w:val="1F3864"/>
          <w:sz w:val="28"/>
        </w:rPr>
        <w:t>About this report</w:t>
      </w:r>
    </w:p>
    <w:p>
      <w:r>
        <w:t>This document describes CallLens as it stands at the end of the submission window: what it does, how it is put together, why each decision was made, and — just as important — what has actually been tested versus what is still an assumption.</w:t>
      </w:r>
    </w:p>
    <w:p>
      <w:r>
        <w:t>It is written for three readers at once:</w:t>
      </w:r>
    </w:p>
    <w:p>
      <w:pPr>
        <w:spacing w:after="60"/>
        <w:ind w:left="403"/>
      </w:pPr>
      <w:r>
        <w:rPr>
          <w:color w:val="2E5C8A"/>
        </w:rPr>
        <w:t xml:space="preserve">•  </w:t>
      </w:r>
      <w:r>
        <w:rPr>
          <w:b/>
        </w:rPr>
        <w:t>A judge</w:t>
      </w:r>
      <w:r>
        <w:t>, who needs to understand the idea and verify the claims quickly.</w:t>
      </w:r>
    </w:p>
    <w:p>
      <w:pPr>
        <w:spacing w:after="60"/>
        <w:ind w:left="403"/>
      </w:pPr>
      <w:r>
        <w:rPr>
          <w:color w:val="2E5C8A"/>
        </w:rPr>
        <w:t xml:space="preserve">•  </w:t>
      </w:r>
      <w:r>
        <w:rPr>
          <w:b/>
        </w:rPr>
        <w:t>An engineer</w:t>
      </w:r>
      <w:r>
        <w:t>, who needs to run it, read the code, and know where the sharp edges are.</w:t>
      </w:r>
    </w:p>
    <w:p>
      <w:pPr>
        <w:spacing w:after="60"/>
        <w:ind w:left="403"/>
      </w:pPr>
      <w:r>
        <w:rPr>
          <w:color w:val="2E5C8A"/>
        </w:rPr>
        <w:t xml:space="preserve">•  </w:t>
      </w:r>
      <w:r>
        <w:rPr>
          <w:b/>
        </w:rPr>
        <w:t>The team that inherits it</w:t>
      </w:r>
      <w:r>
        <w:t>, who need to know what to do next without re-deriving it.</w:t>
      </w:r>
    </w:p>
    <w:p>
      <w:r>
        <w:t>Section 13 is deliberately blunt about the difference between verified and unverified work. Nothing in this document claims a live model call that did not happen.</w:t>
      </w:r>
    </w:p>
    <w:p>
      <w:pPr>
        <w:keepNext/>
        <w:spacing w:before="200" w:after="60"/>
      </w:pPr>
      <w:r>
        <w:rPr>
          <w:b/>
          <w:color w:val="2E5C8A"/>
          <w:sz w:val="23"/>
        </w:rPr>
        <w:t>Reading map</w:t>
      </w:r>
    </w:p>
    <w:tbl>
      <w:tblPr>
        <w:tblStyle w:val="TableGrid"/>
        <w:tblW w:type="auto" w:w="0"/>
        <w:jc w:val="center"/>
        <w:tblLook w:firstColumn="1" w:firstRow="1" w:lastColumn="0" w:lastRow="0" w:noHBand="0" w:noVBand="1" w:val="04A0"/>
      </w:tblPr>
      <w:tblGrid>
        <w:gridCol w:w="4824"/>
        <w:gridCol w:w="4824"/>
      </w:tblGrid>
      <w:tr>
        <w:trPr>
          <w:cantSplit/>
          <w:tblHeader w:val="true"/>
        </w:trPr>
        <w:tc>
          <w:tcPr>
            <w:tcW w:type="dxa" w:w="4824"/>
            <w:shd w:val="clear" w:color="auto" w:fill="E8EDF4"/>
          </w:tcPr>
          <w:p>
            <w:pPr>
              <w:spacing w:after="40"/>
            </w:pPr>
            <w:r>
              <w:rPr>
                <w:b/>
                <w:sz w:val="19"/>
              </w:rPr>
              <w:t>If you have</w:t>
            </w:r>
          </w:p>
        </w:tc>
        <w:tc>
          <w:tcPr>
            <w:tcW w:type="dxa" w:w="4824"/>
            <w:shd w:val="clear" w:color="auto" w:fill="E8EDF4"/>
          </w:tcPr>
          <w:p>
            <w:pPr>
              <w:spacing w:after="40"/>
            </w:pPr>
            <w:r>
              <w:rPr>
                <w:b/>
                <w:sz w:val="19"/>
              </w:rPr>
              <w:t>Read</w:t>
            </w:r>
          </w:p>
        </w:tc>
      </w:tr>
      <w:tr>
        <w:trPr>
          <w:cantSplit/>
        </w:trPr>
        <w:tc>
          <w:tcPr>
            <w:tcW w:type="dxa" w:w="4824"/>
          </w:tcPr>
          <w:p>
            <w:pPr>
              <w:spacing w:after="40"/>
            </w:pPr>
            <w:r>
              <w:rPr>
                <w:sz w:val="19"/>
              </w:rPr>
              <w:t>Two minutes</w:t>
            </w:r>
          </w:p>
        </w:tc>
        <w:tc>
          <w:tcPr>
            <w:tcW w:type="dxa" w:w="4824"/>
          </w:tcPr>
          <w:p>
            <w:pPr>
              <w:spacing w:after="40"/>
            </w:pPr>
            <w:r>
              <w:rPr>
                <w:sz w:val="19"/>
              </w:rPr>
              <w:t>Section 1, and the figures</w:t>
            </w:r>
          </w:p>
        </w:tc>
      </w:tr>
      <w:tr>
        <w:trPr>
          <w:cantSplit/>
        </w:trPr>
        <w:tc>
          <w:tcPr>
            <w:tcW w:type="dxa" w:w="4824"/>
          </w:tcPr>
          <w:p>
            <w:pPr>
              <w:spacing w:after="40"/>
            </w:pPr>
            <w:r>
              <w:rPr>
                <w:sz w:val="19"/>
              </w:rPr>
              <w:t>Five minutes</w:t>
            </w:r>
          </w:p>
        </w:tc>
        <w:tc>
          <w:tcPr>
            <w:tcW w:type="dxa" w:w="4824"/>
          </w:tcPr>
          <w:p>
            <w:pPr>
              <w:spacing w:after="40"/>
            </w:pPr>
            <w:r>
              <w:rPr>
                <w:sz w:val="19"/>
              </w:rPr>
              <w:t>Sections 1 to 6</w:t>
            </w:r>
          </w:p>
        </w:tc>
      </w:tr>
      <w:tr>
        <w:trPr>
          <w:cantSplit/>
        </w:trPr>
        <w:tc>
          <w:tcPr>
            <w:tcW w:type="dxa" w:w="4824"/>
          </w:tcPr>
          <w:p>
            <w:pPr>
              <w:spacing w:after="40"/>
            </w:pPr>
            <w:r>
              <w:rPr>
                <w:sz w:val="19"/>
              </w:rPr>
              <w:t>A technical review</w:t>
            </w:r>
          </w:p>
        </w:tc>
        <w:tc>
          <w:tcPr>
            <w:tcW w:type="dxa" w:w="4824"/>
          </w:tcPr>
          <w:p>
            <w:pPr>
              <w:spacing w:after="40"/>
            </w:pPr>
            <w:r>
              <w:rPr>
                <w:sz w:val="19"/>
              </w:rPr>
              <w:t>Sections 4, 5, 10, 11 and 13</w:t>
            </w:r>
          </w:p>
        </w:tc>
      </w:tr>
      <w:tr>
        <w:trPr>
          <w:cantSplit/>
        </w:trPr>
        <w:tc>
          <w:tcPr>
            <w:tcW w:type="dxa" w:w="4824"/>
          </w:tcPr>
          <w:p>
            <w:pPr>
              <w:spacing w:after="40"/>
            </w:pPr>
            <w:r>
              <w:rPr>
                <w:sz w:val="19"/>
              </w:rPr>
              <w:t>A deployment or handover</w:t>
            </w:r>
          </w:p>
        </w:tc>
        <w:tc>
          <w:tcPr>
            <w:tcW w:type="dxa" w:w="4824"/>
          </w:tcPr>
          <w:p>
            <w:pPr>
              <w:spacing w:after="40"/>
            </w:pPr>
            <w:r>
              <w:rPr>
                <w:sz w:val="19"/>
              </w:rPr>
              <w:t>Sections 12 and 17, plus Appendix A</w:t>
            </w:r>
          </w:p>
        </w:tc>
      </w:tr>
    </w:tbl>
    <w:p>
      <w:pPr>
        <w:spacing w:after="40"/>
      </w:pPr>
    </w:p>
    <w:p>
      <w:pPr>
        <w:spacing w:before="40" w:after="160"/>
        <w:pBdr>
          <w:bottom w:val="single" w:sz="6" w:space="1" w:color="D3DCE8"/>
        </w:pBdr>
      </w:pPr>
    </w:p>
    <w:p>
      <w:pPr>
        <w:keepNext/>
        <w:spacing w:before="280" w:after="80"/>
        <w:pBdr>
          <w:bottom w:val="single" w:sz="6" w:space="3" w:color="2E5C8A"/>
        </w:pBdr>
      </w:pPr>
      <w:r>
        <w:rPr>
          <w:b/>
          <w:color w:val="1F3864"/>
          <w:sz w:val="28"/>
        </w:rPr>
        <w:t>1. Executive summary</w:t>
      </w:r>
    </w:p>
    <w:p>
      <w:r>
        <w:t xml:space="preserve">CallLens is a browser-based support call console. An AI agent named </w:t>
      </w:r>
      <w:r>
        <w:rPr>
          <w:b/>
        </w:rPr>
        <w:t>Aria</w:t>
      </w:r>
      <w:r>
        <w:t xml:space="preserve"> answers customer calls. While the call is happening, a second model reports what is going on — intent, sentiment, urgency, the order number being discussed, and what should happen next. When the call ends, a third model writes the record that the human agent would normally skip: a headline, a summary, the issue, the resolution, the follow-up, the risk, and a copy-ready CRM note.</w:t>
      </w:r>
    </w:p>
    <w:p>
      <w:r>
        <w:t xml:space="preserve">The design decision that defines the project is </w:t>
      </w:r>
      <w:r>
        <w:rPr>
          <w:b/>
        </w:rPr>
        <w:t>model tiering</w:t>
      </w:r>
      <w:r>
        <w:t>. Instead of putting one large model behind every turn, three NVIDIA Nemotron models are placed on three different clocks:</w:t>
      </w:r>
    </w:p>
    <w:p>
      <w:pPr>
        <w:spacing w:after="60"/>
        <w:ind w:left="403"/>
      </w:pPr>
      <w:r>
        <w:rPr>
          <w:color w:val="2E5C8A"/>
        </w:rPr>
        <w:t xml:space="preserve">•  </w:t>
      </w:r>
      <w:r>
        <w:rPr>
          <w:b/>
        </w:rPr>
        <w:t>Nano</w:t>
      </w:r>
      <w:r>
        <w:t xml:space="preserve"> runs before the agent speaks, on every turn. It must be fast or the interface feels dead.</w:t>
      </w:r>
    </w:p>
    <w:p>
      <w:pPr>
        <w:spacing w:after="60"/>
        <w:ind w:left="403"/>
      </w:pPr>
      <w:r>
        <w:rPr>
          <w:color w:val="2E5C8A"/>
        </w:rPr>
        <w:t xml:space="preserve">•  </w:t>
      </w:r>
      <w:r>
        <w:rPr>
          <w:b/>
        </w:rPr>
        <w:t>Super</w:t>
      </w:r>
      <w:r>
        <w:t xml:space="preserve"> produces the words the caller actually hears, streamed token by token.</w:t>
      </w:r>
    </w:p>
    <w:p>
      <w:pPr>
        <w:spacing w:after="60"/>
        <w:ind w:left="403"/>
      </w:pPr>
      <w:r>
        <w:rPr>
          <w:color w:val="2E5C8A"/>
        </w:rPr>
        <w:t xml:space="preserve">•  </w:t>
      </w:r>
      <w:r>
        <w:rPr>
          <w:b/>
        </w:rPr>
        <w:t>Ultra</w:t>
      </w:r>
      <w:r>
        <w:t xml:space="preserve"> runs exactly once, after the line closes, when nobody is waiting.</w:t>
      </w:r>
    </w:p>
    <w:p>
      <w:r>
        <w:t>That is the whole thesis. Latency-critical work goes to the smallest model that can do it well; quality-critical work goes to the mid model; expensive reasoning moves off the live path entirely.</w:t>
      </w:r>
    </w:p>
    <w:p>
      <w:pPr>
        <w:keepNext/>
        <w:spacing w:before="200" w:after="60"/>
      </w:pPr>
      <w:r>
        <w:rPr>
          <w:b/>
          <w:color w:val="2E5C8A"/>
          <w:sz w:val="23"/>
        </w:rPr>
        <w:t>At a glance</w:t>
      </w:r>
    </w:p>
    <w:tbl>
      <w:tblPr>
        <w:tblStyle w:val="TableGrid"/>
        <w:tblW w:type="auto" w:w="0"/>
        <w:jc w:val="center"/>
        <w:tblLook w:firstColumn="1" w:firstRow="1" w:lastColumn="0" w:lastRow="0" w:noHBand="0" w:noVBand="1" w:val="04A0"/>
      </w:tblPr>
      <w:tblGrid>
        <w:gridCol w:w="4824"/>
        <w:gridCol w:w="4824"/>
      </w:tblGrid>
      <w:tr>
        <w:trPr>
          <w:cantSplit/>
          <w:tblHeader w:val="true"/>
        </w:trPr>
        <w:tc>
          <w:tcPr>
            <w:tcW w:type="dxa" w:w="4824"/>
            <w:shd w:val="clear" w:color="auto" w:fill="E8EDF4"/>
          </w:tcPr>
          <w:p>
            <w:pPr>
              <w:spacing w:after="40"/>
            </w:pPr>
            <w:r>
              <w:rPr>
                <w:b/>
                <w:sz w:val="19"/>
              </w:rPr>
              <w:t>What it is</w:t>
            </w:r>
          </w:p>
        </w:tc>
        <w:tc>
          <w:tcPr>
            <w:tcW w:type="dxa" w:w="4824"/>
            <w:shd w:val="clear" w:color="auto" w:fill="E8EDF4"/>
          </w:tcPr>
          <w:p>
            <w:pPr>
              <w:spacing w:after="40"/>
            </w:pPr>
            <w:r>
              <w:rPr>
                <w:b/>
                <w:sz w:val="19"/>
              </w:rPr>
              <w:t>A working web app: call console, live analysis rail, post-call record</w:t>
            </w:r>
          </w:p>
        </w:tc>
      </w:tr>
      <w:tr>
        <w:trPr>
          <w:cantSplit/>
        </w:trPr>
        <w:tc>
          <w:tcPr>
            <w:tcW w:type="dxa" w:w="4824"/>
          </w:tcPr>
          <w:p>
            <w:pPr>
              <w:spacing w:after="40"/>
            </w:pPr>
            <w:r>
              <w:rPr>
                <w:sz w:val="19"/>
              </w:rPr>
              <w:t>Models</w:t>
            </w:r>
          </w:p>
        </w:tc>
        <w:tc>
          <w:tcPr>
            <w:tcW w:type="dxa" w:w="4824"/>
          </w:tcPr>
          <w:p>
            <w:pPr>
              <w:spacing w:after="40"/>
            </w:pPr>
            <w:r>
              <w:rPr>
                <w:sz w:val="19"/>
              </w:rPr>
              <w:t>NVIDIA Nemotron Nano, Nemotron Super, Nemotron 3 Ultra, via Nebius Token Factory</w:t>
            </w:r>
          </w:p>
        </w:tc>
      </w:tr>
      <w:tr>
        <w:trPr>
          <w:cantSplit/>
        </w:trPr>
        <w:tc>
          <w:tcPr>
            <w:tcW w:type="dxa" w:w="4824"/>
          </w:tcPr>
          <w:p>
            <w:pPr>
              <w:spacing w:after="40"/>
            </w:pPr>
            <w:r>
              <w:rPr>
                <w:sz w:val="19"/>
              </w:rPr>
              <w:t>Stack</w:t>
            </w:r>
          </w:p>
        </w:tc>
        <w:tc>
          <w:tcPr>
            <w:tcW w:type="dxa" w:w="4824"/>
          </w:tcPr>
          <w:p>
            <w:pPr>
              <w:spacing w:after="40"/>
            </w:pPr>
            <w:r>
              <w:rPr>
                <w:sz w:val="19"/>
              </w:rPr>
              <w:t>Node.js standard library, plain HTML/CSS/JS, zero dependencies, no build step</w:t>
            </w:r>
          </w:p>
        </w:tc>
      </w:tr>
      <w:tr>
        <w:trPr>
          <w:cantSplit/>
        </w:trPr>
        <w:tc>
          <w:tcPr>
            <w:tcW w:type="dxa" w:w="4824"/>
          </w:tcPr>
          <w:p>
            <w:pPr>
              <w:spacing w:after="40"/>
            </w:pPr>
            <w:r>
              <w:rPr>
                <w:sz w:val="19"/>
              </w:rPr>
              <w:t>Interface</w:t>
            </w:r>
          </w:p>
        </w:tc>
        <w:tc>
          <w:tcPr>
            <w:tcW w:type="dxa" w:w="4824"/>
          </w:tcPr>
          <w:p>
            <w:pPr>
              <w:spacing w:after="40"/>
            </w:pPr>
            <w:r>
              <w:rPr>
                <w:sz w:val="19"/>
              </w:rPr>
              <w:t>Dark single-surface console with voice in, voice out, and a streaming transcript</w:t>
            </w:r>
          </w:p>
        </w:tc>
      </w:tr>
      <w:tr>
        <w:trPr>
          <w:cantSplit/>
        </w:trPr>
        <w:tc>
          <w:tcPr>
            <w:tcW w:type="dxa" w:w="4824"/>
          </w:tcPr>
          <w:p>
            <w:pPr>
              <w:spacing w:after="40"/>
            </w:pPr>
            <w:r>
              <w:rPr>
                <w:sz w:val="19"/>
              </w:rPr>
              <w:t>Safety rule</w:t>
            </w:r>
          </w:p>
        </w:tc>
        <w:tc>
          <w:tcPr>
            <w:tcW w:type="dxa" w:w="4824"/>
          </w:tcPr>
          <w:p>
            <w:pPr>
              <w:spacing w:after="40"/>
            </w:pPr>
            <w:r>
              <w:rPr>
                <w:sz w:val="19"/>
              </w:rPr>
              <w:t>Answers come only from an approved knowledge block; anything else becomes a human handoff</w:t>
            </w:r>
          </w:p>
        </w:tc>
      </w:tr>
      <w:tr>
        <w:trPr>
          <w:cantSplit/>
        </w:trPr>
        <w:tc>
          <w:tcPr>
            <w:tcW w:type="dxa" w:w="4824"/>
          </w:tcPr>
          <w:p>
            <w:pPr>
              <w:spacing w:after="40"/>
            </w:pPr>
            <w:r>
              <w:rPr>
                <w:sz w:val="19"/>
              </w:rPr>
              <w:t>Honest limit</w:t>
            </w:r>
          </w:p>
        </w:tc>
        <w:tc>
          <w:tcPr>
            <w:tcW w:type="dxa" w:w="4824"/>
          </w:tcPr>
          <w:p>
            <w:pPr>
              <w:spacing w:after="40"/>
            </w:pPr>
            <w:r>
              <w:rPr>
                <w:sz w:val="19"/>
              </w:rPr>
              <w:t>It is a browser call, not a telephone call. See section 16</w:t>
            </w:r>
          </w:p>
        </w:tc>
      </w:tr>
    </w:tbl>
    <w:p>
      <w:pPr>
        <w:spacing w:after="40"/>
      </w:pPr>
    </w:p>
    <w:p>
      <w:r>
        <w:t>The rest of this report takes each of those apart.</w:t>
      </w:r>
    </w:p>
    <w:p>
      <w:pPr>
        <w:spacing w:before="40" w:after="160"/>
        <w:pBdr>
          <w:bottom w:val="single" w:sz="6" w:space="1" w:color="D3DCE8"/>
        </w:pBdr>
      </w:pPr>
    </w:p>
    <w:p>
      <w:pPr>
        <w:keepNext/>
        <w:spacing w:before="280" w:after="80"/>
        <w:pBdr>
          <w:bottom w:val="single" w:sz="6" w:space="3" w:color="2E5C8A"/>
        </w:pBdr>
      </w:pPr>
      <w:r>
        <w:rPr>
          <w:b/>
          <w:color w:val="1F3864"/>
          <w:sz w:val="28"/>
        </w:rPr>
        <w:t>2. Problem and audience</w:t>
      </w:r>
    </w:p>
    <w:p>
      <w:r>
        <w:t>A support agent on a live call is doing three jobs at once: listening, deciding, and talking. On top of that, every call ends with paperwork — the ticket, the disposition code, the follow-up. In practice the paperwork is skipped or written badly, because the agent is already on the next call.</w:t>
      </w:r>
    </w:p>
    <w:p>
      <w:r>
        <w:t>Teams that automate this usually drop a single large model behind the whole conversation. That produces three problems:</w:t>
      </w:r>
    </w:p>
    <w:p>
      <w:pPr>
        <w:spacing w:after="60"/>
        <w:ind w:left="403"/>
      </w:pPr>
      <w:r>
        <w:rPr>
          <w:color w:val="2E5C8A"/>
        </w:rPr>
        <w:t xml:space="preserve">1. </w:t>
      </w:r>
      <w:r>
        <w:rPr>
          <w:b/>
        </w:rPr>
        <w:t>Latency.</w:t>
      </w:r>
      <w:r>
        <w:t xml:space="preserve"> A large model on every turn makes the caller wait in silence. Callers notice a pause of more than a second; they hang up on three.</w:t>
      </w:r>
    </w:p>
    <w:p>
      <w:pPr>
        <w:spacing w:after="60"/>
        <w:ind w:left="403"/>
      </w:pPr>
      <w:r>
        <w:rPr>
          <w:color w:val="2E5C8A"/>
        </w:rPr>
        <w:t xml:space="preserve">2. </w:t>
      </w:r>
      <w:r>
        <w:rPr>
          <w:b/>
        </w:rPr>
        <w:t>Cost.</w:t>
      </w:r>
      <w:r>
        <w:t xml:space="preserve"> Most turns are trivial — "are you open on Sunday?", "where is my parcel?" — and do not need a frontier model's capability.</w:t>
      </w:r>
    </w:p>
    <w:p>
      <w:pPr>
        <w:spacing w:after="60"/>
        <w:ind w:left="403"/>
      </w:pPr>
      <w:r>
        <w:rPr>
          <w:color w:val="2E5C8A"/>
        </w:rPr>
        <w:t xml:space="preserve">3. </w:t>
      </w:r>
      <w:r>
        <w:rPr>
          <w:b/>
        </w:rPr>
        <w:t>No record.</w:t>
      </w:r>
      <w:r>
        <w:t xml:space="preserve"> The conversation gets answered but never summarised, so the operational value is lost. The thing a support manager actually wants is the record, not the chat.</w:t>
      </w:r>
    </w:p>
    <w:p>
      <w:r>
        <w:rPr>
          <w:b/>
        </w:rPr>
        <w:t>Audience:</w:t>
      </w:r>
      <w:r>
        <w:t xml:space="preserve"> small and mid-size support teams that already record calls but cannot afford a per-seat AI copilot, and want both the live answer and the post-call record from one system. It also fits the more common case of a single person covering a support line, where there is no second colleague to hand a call to.</w:t>
      </w:r>
    </w:p>
    <w:p>
      <w:r>
        <w:rPr>
          <w:b/>
        </w:rPr>
        <w:t>Why this is worth doing now.</w:t>
      </w:r>
      <w:r>
        <w:t xml:space="preserve"> Open-weight models small enough to answer in well under a second are now good enough to run the routine turn, while a much larger model is available on the same API for the once-per-call reasoning. That split was expensive and awkward a year ago; today it is a routing decision, not a procurement decision.</w:t>
      </w:r>
    </w:p>
    <w:p>
      <w:pPr>
        <w:spacing w:before="40" w:after="160"/>
        <w:pBdr>
          <w:bottom w:val="single" w:sz="6" w:space="1" w:color="D3DCE8"/>
        </w:pBdr>
      </w:pPr>
    </w:p>
    <w:p>
      <w:pPr>
        <w:keepNext/>
        <w:spacing w:before="280" w:after="80"/>
        <w:pBdr>
          <w:bottom w:val="single" w:sz="6" w:space="3" w:color="2E5C8A"/>
        </w:pBdr>
      </w:pPr>
      <w:r>
        <w:rPr>
          <w:b/>
          <w:color w:val="1F3864"/>
          <w:sz w:val="28"/>
        </w:rPr>
        <w:t>3. What was built</w:t>
      </w:r>
    </w:p>
    <w:tbl>
      <w:tblPr>
        <w:tblStyle w:val="TableGrid"/>
        <w:tblW w:type="auto" w:w="0"/>
        <w:jc w:val="center"/>
        <w:tblLook w:firstColumn="1" w:firstRow="1" w:lastColumn="0" w:lastRow="0" w:noHBand="0" w:noVBand="1" w:val="04A0"/>
      </w:tblPr>
      <w:tblGrid>
        <w:gridCol w:w="4824"/>
        <w:gridCol w:w="4824"/>
      </w:tblGrid>
      <w:tr>
        <w:trPr>
          <w:cantSplit/>
          <w:tblHeader w:val="true"/>
        </w:trPr>
        <w:tc>
          <w:tcPr>
            <w:tcW w:type="dxa" w:w="4824"/>
            <w:shd w:val="clear" w:color="auto" w:fill="E8EDF4"/>
          </w:tcPr>
          <w:p>
            <w:pPr>
              <w:spacing w:after="40"/>
            </w:pPr>
            <w:r>
              <w:rPr>
                <w:b/>
                <w:sz w:val="19"/>
              </w:rPr>
              <w:t>Capability</w:t>
            </w:r>
          </w:p>
        </w:tc>
        <w:tc>
          <w:tcPr>
            <w:tcW w:type="dxa" w:w="4824"/>
            <w:shd w:val="clear" w:color="auto" w:fill="E8EDF4"/>
          </w:tcPr>
          <w:p>
            <w:pPr>
              <w:spacing w:after="40"/>
            </w:pPr>
            <w:r>
              <w:rPr>
                <w:b/>
                <w:sz w:val="19"/>
              </w:rPr>
              <w:t>Detail</w:t>
            </w:r>
          </w:p>
        </w:tc>
      </w:tr>
      <w:tr>
        <w:trPr>
          <w:cantSplit/>
        </w:trPr>
        <w:tc>
          <w:tcPr>
            <w:tcW w:type="dxa" w:w="4824"/>
          </w:tcPr>
          <w:p>
            <w:pPr>
              <w:spacing w:after="40"/>
            </w:pPr>
            <w:r>
              <w:rPr>
                <w:sz w:val="19"/>
              </w:rPr>
              <w:t>Live call console</w:t>
            </w:r>
          </w:p>
        </w:tc>
        <w:tc>
          <w:tcPr>
            <w:tcW w:type="dxa" w:w="4824"/>
          </w:tcPr>
          <w:p>
            <w:pPr>
              <w:spacing w:after="40"/>
            </w:pPr>
            <w:r>
              <w:rPr>
                <w:sz w:val="19"/>
              </w:rPr>
              <w:t>Caller and agent turns rendered as they happen; agent replies streamed token by token</w:t>
            </w:r>
          </w:p>
        </w:tc>
      </w:tr>
      <w:tr>
        <w:trPr>
          <w:cantSplit/>
        </w:trPr>
        <w:tc>
          <w:tcPr>
            <w:tcW w:type="dxa" w:w="4824"/>
          </w:tcPr>
          <w:p>
            <w:pPr>
              <w:spacing w:after="40"/>
            </w:pPr>
            <w:r>
              <w:rPr>
                <w:sz w:val="19"/>
              </w:rPr>
              <w:t>Live analysis rail</w:t>
            </w:r>
          </w:p>
        </w:tc>
        <w:tc>
          <w:tcPr>
            <w:tcW w:type="dxa" w:w="4824"/>
          </w:tcPr>
          <w:p>
            <w:pPr>
              <w:spacing w:after="40"/>
            </w:pPr>
            <w:r>
              <w:rPr>
                <w:sz w:val="19"/>
              </w:rPr>
              <w:t>Intent, sentiment, urgency (1–5), extracted order id and next action, updated every turn</w:t>
            </w:r>
          </w:p>
        </w:tc>
      </w:tr>
      <w:tr>
        <w:trPr>
          <w:cantSplit/>
        </w:trPr>
        <w:tc>
          <w:tcPr>
            <w:tcW w:type="dxa" w:w="4824"/>
          </w:tcPr>
          <w:p>
            <w:pPr>
              <w:spacing w:after="40"/>
            </w:pPr>
            <w:r>
              <w:rPr>
                <w:sz w:val="19"/>
              </w:rPr>
              <w:t>Three-tier routing</w:t>
            </w:r>
          </w:p>
        </w:tc>
        <w:tc>
          <w:tcPr>
            <w:tcW w:type="dxa" w:w="4824"/>
          </w:tcPr>
          <w:p>
            <w:pPr>
              <w:spacing w:after="40"/>
            </w:pPr>
            <w:r>
              <w:rPr>
                <w:sz w:val="19"/>
              </w:rPr>
              <w:t>Nemotron Nano, Super and Ultra, each on its own endpoint call with its own prompt</w:t>
            </w:r>
          </w:p>
        </w:tc>
      </w:tr>
      <w:tr>
        <w:trPr>
          <w:cantSplit/>
        </w:trPr>
        <w:tc>
          <w:tcPr>
            <w:tcW w:type="dxa" w:w="4824"/>
          </w:tcPr>
          <w:p>
            <w:pPr>
              <w:spacing w:after="40"/>
            </w:pPr>
            <w:r>
              <w:rPr>
                <w:sz w:val="19"/>
              </w:rPr>
              <w:t>Grounded replies</w:t>
            </w:r>
          </w:p>
        </w:tc>
        <w:tc>
          <w:tcPr>
            <w:tcW w:type="dxa" w:w="4824"/>
          </w:tcPr>
          <w:p>
            <w:pPr>
              <w:spacing w:after="40"/>
            </w:pPr>
            <w:r>
              <w:rPr>
                <w:sz w:val="19"/>
              </w:rPr>
              <w:t>Answers restricted to an approved knowledge block; anything else becomes a human handoff</w:t>
            </w:r>
          </w:p>
        </w:tc>
      </w:tr>
      <w:tr>
        <w:trPr>
          <w:cantSplit/>
        </w:trPr>
        <w:tc>
          <w:tcPr>
            <w:tcW w:type="dxa" w:w="4824"/>
          </w:tcPr>
          <w:p>
            <w:pPr>
              <w:spacing w:after="40"/>
            </w:pPr>
            <w:r>
              <w:rPr>
                <w:sz w:val="19"/>
              </w:rPr>
              <w:t>Voice</w:t>
            </w:r>
          </w:p>
        </w:tc>
        <w:tc>
          <w:tcPr>
            <w:tcW w:type="dxa" w:w="4824"/>
          </w:tcPr>
          <w:p>
            <w:pPr>
              <w:spacing w:after="40"/>
            </w:pPr>
            <w:r>
              <w:rPr>
                <w:sz w:val="19"/>
              </w:rPr>
              <w:t>Browser speech recognition for the caller, speech synthesis for the agent</w:t>
            </w:r>
          </w:p>
        </w:tc>
      </w:tr>
      <w:tr>
        <w:trPr>
          <w:cantSplit/>
        </w:trPr>
        <w:tc>
          <w:tcPr>
            <w:tcW w:type="dxa" w:w="4824"/>
          </w:tcPr>
          <w:p>
            <w:pPr>
              <w:spacing w:after="40"/>
            </w:pPr>
            <w:r>
              <w:rPr>
                <w:sz w:val="19"/>
              </w:rPr>
              <w:t>Web context</w:t>
            </w:r>
          </w:p>
        </w:tc>
        <w:tc>
          <w:tcPr>
            <w:tcW w:type="dxa" w:w="4824"/>
          </w:tcPr>
          <w:p>
            <w:pPr>
              <w:spacing w:after="40"/>
            </w:pPr>
            <w:r>
              <w:rPr>
                <w:sz w:val="19"/>
              </w:rPr>
              <w:t>Optional Tavily lookup when the caller names a company, with a hard timeout</w:t>
            </w:r>
          </w:p>
        </w:tc>
      </w:tr>
      <w:tr>
        <w:trPr>
          <w:cantSplit/>
        </w:trPr>
        <w:tc>
          <w:tcPr>
            <w:tcW w:type="dxa" w:w="4824"/>
          </w:tcPr>
          <w:p>
            <w:pPr>
              <w:spacing w:after="40"/>
            </w:pPr>
            <w:r>
              <w:rPr>
                <w:sz w:val="19"/>
              </w:rPr>
              <w:t>Post-call record</w:t>
            </w:r>
          </w:p>
        </w:tc>
        <w:tc>
          <w:tcPr>
            <w:tcW w:type="dxa" w:w="4824"/>
          </w:tcPr>
          <w:p>
            <w:pPr>
              <w:spacing w:after="40"/>
            </w:pPr>
            <w:r>
              <w:rPr>
                <w:sz w:val="19"/>
              </w:rPr>
              <w:t>Headline, summary, issue, resolution, actions, follow-up, risk, CRM note</w:t>
            </w:r>
          </w:p>
        </w:tc>
      </w:tr>
      <w:tr>
        <w:trPr>
          <w:cantSplit/>
        </w:trPr>
        <w:tc>
          <w:tcPr>
            <w:tcW w:type="dxa" w:w="4824"/>
          </w:tcPr>
          <w:p>
            <w:pPr>
              <w:spacing w:after="40"/>
            </w:pPr>
            <w:r>
              <w:rPr>
                <w:sz w:val="19"/>
              </w:rPr>
              <w:t>Mock mode</w:t>
            </w:r>
          </w:p>
        </w:tc>
        <w:tc>
          <w:tcPr>
            <w:tcW w:type="dxa" w:w="4824"/>
          </w:tcPr>
          <w:p>
            <w:pPr>
              <w:spacing w:after="40"/>
            </w:pPr>
            <w:r>
              <w:rPr>
                <w:sz w:val="19"/>
              </w:rPr>
              <w:t>Full UI and streaming path with no API key, clearly labelled in the badge</w:t>
            </w:r>
          </w:p>
        </w:tc>
      </w:tr>
      <w:tr>
        <w:trPr>
          <w:cantSplit/>
        </w:trPr>
        <w:tc>
          <w:tcPr>
            <w:tcW w:type="dxa" w:w="4824"/>
          </w:tcPr>
          <w:p>
            <w:pPr>
              <w:spacing w:after="40"/>
            </w:pPr>
            <w:r>
              <w:rPr>
                <w:sz w:val="19"/>
              </w:rPr>
              <w:t>Deployment</w:t>
            </w:r>
          </w:p>
        </w:tc>
        <w:tc>
          <w:tcPr>
            <w:tcW w:type="dxa" w:w="4824"/>
          </w:tcPr>
          <w:p>
            <w:pPr>
              <w:spacing w:after="40"/>
            </w:pPr>
            <w:r>
              <w:rPr>
                <w:sz w:val="19"/>
              </w:rPr>
              <w:t>Plain Node process; runs on Render's free tier or in Docker</w:t>
            </w:r>
          </w:p>
        </w:tc>
      </w:tr>
      <w:tr>
        <w:trPr>
          <w:cantSplit/>
        </w:trPr>
        <w:tc>
          <w:tcPr>
            <w:tcW w:type="dxa" w:w="4824"/>
          </w:tcPr>
          <w:p>
            <w:pPr>
              <w:spacing w:after="40"/>
            </w:pPr>
            <w:r>
              <w:rPr>
                <w:sz w:val="19"/>
              </w:rPr>
              <w:t>Transparency</w:t>
            </w:r>
          </w:p>
        </w:tc>
        <w:tc>
          <w:tcPr>
            <w:tcW w:type="dxa" w:w="4824"/>
          </w:tcPr>
          <w:p>
            <w:pPr>
              <w:spacing w:after="40"/>
            </w:pPr>
            <w:r>
              <w:rPr>
                <w:rFonts w:ascii="Consolas" w:hAnsi="Consolas"/>
                <w:sz w:val="18"/>
              </w:rPr>
              <w:t>/health</w:t>
            </w:r>
            <w:r>
              <w:rPr>
                <w:sz w:val="19"/>
              </w:rPr>
              <w:t xml:space="preserve"> reports the live mode and the model ids actually in use</w:t>
            </w:r>
          </w:p>
        </w:tc>
      </w:tr>
    </w:tbl>
    <w:p>
      <w:pPr>
        <w:spacing w:after="40"/>
      </w:pPr>
    </w:p>
    <w:p>
      <w:r>
        <w:t xml:space="preserve">What was deliberately </w:t>
      </w:r>
      <w:r>
        <w:rPr>
          <w:b/>
        </w:rPr>
        <w:t>not</w:t>
      </w:r>
      <w:r>
        <w:t xml:space="preserve"> built: authentication, a database, telephony integration and a retrieval layer. Each is listed in section 17 with the reason it was deferred.</w:t>
      </w:r>
    </w:p>
    <w:p>
      <w:pPr>
        <w:spacing w:before="40" w:after="160"/>
        <w:pBdr>
          <w:bottom w:val="single" w:sz="6" w:space="1" w:color="D3DCE8"/>
        </w:pBdr>
      </w:pPr>
    </w:p>
    <w:p>
      <w:pPr>
        <w:keepNext/>
        <w:spacing w:before="280" w:after="80"/>
        <w:pBdr>
          <w:bottom w:val="single" w:sz="6" w:space="3" w:color="2E5C8A"/>
        </w:pBdr>
      </w:pPr>
      <w:r>
        <w:rPr>
          <w:b/>
          <w:color w:val="1F3864"/>
          <w:sz w:val="28"/>
        </w:rPr>
        <w:t>4. Architecture</w:t>
      </w:r>
    </w:p>
    <w:p>
      <w:pPr>
        <w:keepNext/>
        <w:spacing w:before="200" w:after="60"/>
      </w:pPr>
      <w:r>
        <w:rPr>
          <w:b/>
          <w:color w:val="2E5C8A"/>
          <w:sz w:val="23"/>
        </w:rPr>
        <w:t>4.1 System overview</w:t>
      </w:r>
    </w:p>
    <w:p>
      <w:r>
        <w:t>Three processes, one connection:</w:t>
      </w:r>
    </w:p>
    <w:p>
      <w:pPr>
        <w:spacing w:after="60"/>
        <w:ind w:left="403"/>
      </w:pPr>
      <w:r>
        <w:rPr>
          <w:color w:val="2E5C8A"/>
        </w:rPr>
        <w:t xml:space="preserve">•  </w:t>
      </w:r>
      <w:r>
        <w:rPr>
          <w:b/>
        </w:rPr>
        <w:t>The browser</w:t>
      </w:r>
      <w:r>
        <w:t xml:space="preserve"> holds all interaction state: the transcript, the analysis rail, the routing timings and the voice controls. It never holds an API key and never calls Nebius.</w:t>
      </w:r>
    </w:p>
    <w:p>
      <w:pPr>
        <w:spacing w:after="60"/>
        <w:ind w:left="403"/>
      </w:pPr>
      <w:r>
        <w:rPr>
          <w:color w:val="2E5C8A"/>
        </w:rPr>
        <w:t xml:space="preserve">•  </w:t>
      </w:r>
      <w:r>
        <w:rPr>
          <w:b/>
        </w:rPr>
        <w:t>The Node server</w:t>
      </w:r>
      <w:r>
        <w:t xml:space="preserve"> owns every model call. It classifies, prompts, streams, times out, and shapes the output. It is the only component that knows a model exists.</w:t>
      </w:r>
    </w:p>
    <w:p>
      <w:pPr>
        <w:spacing w:after="60"/>
        <w:ind w:left="403"/>
      </w:pPr>
      <w:r>
        <w:rPr>
          <w:color w:val="2E5C8A"/>
        </w:rPr>
        <w:t xml:space="preserve">•  </w:t>
      </w:r>
      <w:r>
        <w:rPr>
          <w:b/>
        </w:rPr>
        <w:t>Nebius Token Factory</w:t>
      </w:r>
      <w:r>
        <w:t xml:space="preserve"> serves all three tiers from one OpenAI-compatible endpoint, so swapping a tier is a configuration change rather than a code change.</w:t>
      </w:r>
    </w:p>
    <w:p>
      <w:pPr>
        <w:keepNext/>
        <w:spacing w:before="160" w:after="80"/>
        <w:jc w:val="center"/>
      </w:pPr>
      <w:r>
        <w:drawing>
          <wp:inline xmlns:a="http://schemas.openxmlformats.org/drawingml/2006/main" xmlns:pic="http://schemas.openxmlformats.org/drawingml/2006/picture">
            <wp:extent cx="5669280" cy="3442063"/>
            <wp:docPr id="2" name="Picture 2"/>
            <wp:cNvGraphicFramePr>
              <a:graphicFrameLocks noChangeAspect="1"/>
            </wp:cNvGraphicFramePr>
            <a:graphic>
              <a:graphicData uri="http://schemas.openxmlformats.org/drawingml/2006/picture">
                <pic:pic>
                  <pic:nvPicPr>
                    <pic:cNvPr id="0" name="fig1-architecture.png"/>
                    <pic:cNvPicPr/>
                  </pic:nvPicPr>
                  <pic:blipFill>
                    <a:blip r:embed="rId11"/>
                    <a:stretch>
                      <a:fillRect/>
                    </a:stretch>
                  </pic:blipFill>
                  <pic:spPr>
                    <a:xfrm>
                      <a:off x="0" y="0"/>
                      <a:ext cx="5669280" cy="3442063"/>
                    </a:xfrm>
                    <a:prstGeom prst="rect"/>
                  </pic:spPr>
                </pic:pic>
              </a:graphicData>
            </a:graphic>
          </wp:inline>
        </w:drawing>
      </w:r>
    </w:p>
    <w:p>
      <w:pPr>
        <w:spacing w:after="240"/>
        <w:jc w:val="center"/>
      </w:pPr>
      <w:r>
        <w:rPr>
          <w:i/>
          <w:color w:val="5A5A5A"/>
          <w:sz w:val="17"/>
        </w:rPr>
        <w:t>Figure 1 — System architecture. The browser only talks to the Node server; the server is the only holder of the API key and the only caller of the model tiers.</w:t>
      </w:r>
    </w:p>
    <w:p>
      <w:r>
        <w:t>The split matters for two reasons. First, the API key never reaches the client, so the app can be published without leaking a secret. Second, every model call passes through one client module, which is where retries, timeouts, JSON repair and mock mode are implemented — once, instead of three times.</w:t>
      </w:r>
    </w:p>
    <w:p>
      <w:pPr>
        <w:keepNext/>
        <w:spacing w:before="200" w:after="60"/>
      </w:pPr>
      <w:r>
        <w:rPr>
          <w:b/>
          <w:color w:val="2E5C8A"/>
          <w:sz w:val="23"/>
        </w:rPr>
        <w:t>4.2 One turn, end to end</w:t>
      </w:r>
    </w:p>
    <w:p>
      <w:r>
        <w:t>A turn is six steps, and their order is the design:</w:t>
      </w:r>
    </w:p>
    <w:p>
      <w:pPr>
        <w:spacing w:after="60"/>
        <w:ind w:left="403"/>
      </w:pPr>
      <w:r>
        <w:rPr>
          <w:color w:val="2E5C8A"/>
        </w:rPr>
        <w:t xml:space="preserve">1. </w:t>
      </w:r>
      <w:r>
        <w:t xml:space="preserve">The caller speaks (or types). The browser posts </w:t>
      </w:r>
      <w:r>
        <w:rPr>
          <w:rFonts w:ascii="Consolas" w:hAnsi="Consolas"/>
        </w:rPr>
        <w:t>{ caller, history }</w:t>
      </w:r>
      <w:r>
        <w:t xml:space="preserve"> to </w:t>
      </w:r>
      <w:r>
        <w:rPr>
          <w:rFonts w:ascii="Consolas" w:hAnsi="Consolas"/>
        </w:rPr>
        <w:t>/api/turn</w:t>
      </w:r>
      <w:r>
        <w:t>.</w:t>
      </w:r>
    </w:p>
    <w:p>
      <w:pPr>
        <w:spacing w:after="60"/>
        <w:ind w:left="403"/>
      </w:pPr>
      <w:r>
        <w:rPr>
          <w:color w:val="2E5C8A"/>
        </w:rPr>
        <w:t xml:space="preserve">2. </w:t>
      </w:r>
      <w:r>
        <w:t xml:space="preserve">The server calls </w:t>
      </w:r>
      <w:r>
        <w:rPr>
          <w:b/>
        </w:rPr>
        <w:t>Nano</w:t>
      </w:r>
      <w:r>
        <w:t xml:space="preserve"> with a short, schema-constrained prompt at temperature 0. The reply is parsed as JSON and merged onto safe defaults, so one malformed field cannot break a turn.</w:t>
      </w:r>
    </w:p>
    <w:p>
      <w:pPr>
        <w:spacing w:after="60"/>
        <w:ind w:left="403"/>
      </w:pPr>
      <w:r>
        <w:rPr>
          <w:color w:val="2E5C8A"/>
        </w:rPr>
        <w:t xml:space="preserve">3. </w:t>
      </w:r>
      <w:r>
        <w:t xml:space="preserve">The classification is pushed to the browser immediately as an </w:t>
      </w:r>
      <w:r>
        <w:rPr>
          <w:rFonts w:ascii="Consolas" w:hAnsi="Consolas"/>
        </w:rPr>
        <w:t>analysis</w:t>
      </w:r>
      <w:r>
        <w:t xml:space="preserve"> event.</w:t>
      </w:r>
    </w:p>
    <w:p>
      <w:pPr>
        <w:spacing w:after="60"/>
        <w:ind w:left="403"/>
      </w:pPr>
      <w:r>
        <w:rPr>
          <w:color w:val="2E5C8A"/>
        </w:rPr>
        <w:t xml:space="preserve">4. </w:t>
      </w:r>
      <w:r>
        <w:t xml:space="preserve">If the caller named a company and </w:t>
      </w:r>
      <w:r>
        <w:rPr>
          <w:rFonts w:ascii="Consolas" w:hAnsi="Consolas"/>
        </w:rPr>
        <w:t>TAVILY_API_KEY</w:t>
      </w:r>
      <w:r>
        <w:t xml:space="preserve"> is set, a search runs and arrives as a </w:t>
      </w:r>
      <w:r>
        <w:rPr>
          <w:rFonts w:ascii="Consolas" w:hAnsi="Consolas"/>
        </w:rPr>
        <w:t>context</w:t>
      </w:r>
      <w:r>
        <w:t xml:space="preserve"> event. It has an 8-second ceiling and fails silently.</w:t>
      </w:r>
    </w:p>
    <w:p>
      <w:pPr>
        <w:spacing w:after="60"/>
        <w:ind w:left="403"/>
      </w:pPr>
      <w:r>
        <w:rPr>
          <w:color w:val="2E5C8A"/>
        </w:rPr>
        <w:t xml:space="preserve">5. </w:t>
      </w:r>
      <w:r>
        <w:t xml:space="preserve">The server calls </w:t>
      </w:r>
      <w:r>
        <w:rPr>
          <w:b/>
        </w:rPr>
        <w:t>Super</w:t>
      </w:r>
      <w:r>
        <w:t xml:space="preserve"> with the transcript plus a closed knowledge block, and forwards each token as a </w:t>
      </w:r>
      <w:r>
        <w:rPr>
          <w:rFonts w:ascii="Consolas" w:hAnsi="Consolas"/>
        </w:rPr>
        <w:t>delta</w:t>
      </w:r>
      <w:r>
        <w:t xml:space="preserve"> event.</w:t>
      </w:r>
    </w:p>
    <w:p>
      <w:pPr>
        <w:spacing w:after="60"/>
        <w:ind w:left="403"/>
      </w:pPr>
      <w:r>
        <w:rPr>
          <w:color w:val="2E5C8A"/>
        </w:rPr>
        <w:t xml:space="preserve">6. </w:t>
      </w:r>
      <w:r>
        <w:t xml:space="preserve">A </w:t>
      </w:r>
      <w:r>
        <w:rPr>
          <w:rFonts w:ascii="Consolas" w:hAnsi="Consolas"/>
        </w:rPr>
        <w:t>done</w:t>
      </w:r>
      <w:r>
        <w:t xml:space="preserve"> event closes the turn with timings. The browser commits the agent message to local history and speaks it aloud if voice output is on.</w:t>
      </w:r>
    </w:p>
    <w:p>
      <w:pPr>
        <w:keepNext/>
        <w:spacing w:before="160" w:after="80"/>
        <w:jc w:val="center"/>
      </w:pPr>
      <w:r>
        <w:drawing>
          <wp:inline xmlns:a="http://schemas.openxmlformats.org/drawingml/2006/main" xmlns:pic="http://schemas.openxmlformats.org/drawingml/2006/picture">
            <wp:extent cx="5669280" cy="3492681"/>
            <wp:docPr id="3" name="Picture 3"/>
            <wp:cNvGraphicFramePr>
              <a:graphicFrameLocks noChangeAspect="1"/>
            </wp:cNvGraphicFramePr>
            <a:graphic>
              <a:graphicData uri="http://schemas.openxmlformats.org/drawingml/2006/picture">
                <pic:pic>
                  <pic:nvPicPr>
                    <pic:cNvPr id="0" name="fig3-turn-sequence.png"/>
                    <pic:cNvPicPr/>
                  </pic:nvPicPr>
                  <pic:blipFill>
                    <a:blip r:embed="rId12"/>
                    <a:stretch>
                      <a:fillRect/>
                    </a:stretch>
                  </pic:blipFill>
                  <pic:spPr>
                    <a:xfrm>
                      <a:off x="0" y="0"/>
                      <a:ext cx="5669280" cy="3492681"/>
                    </a:xfrm>
                    <a:prstGeom prst="rect"/>
                  </pic:spPr>
                </pic:pic>
              </a:graphicData>
            </a:graphic>
          </wp:inline>
        </w:drawing>
      </w:r>
    </w:p>
    <w:p>
      <w:pPr>
        <w:spacing w:after="240"/>
        <w:jc w:val="center"/>
      </w:pPr>
      <w:r>
        <w:rPr>
          <w:i/>
          <w:color w:val="5A5A5A"/>
          <w:sz w:val="17"/>
        </w:rPr>
        <w:t>Figure 2 — The lifecycle of a single call turn. The classifier's result is pushed to the interface before the reply model has produced its first token.</w:t>
      </w:r>
    </w:p>
    <w:p>
      <w:r>
        <w:t>Two details in that sequence are deliberate. The classification is pushed before the reply model is called, so the rail updates while the agent is still formulating its answer. And the browser, not the server, speaks the reply: the server streams text, the client decides whether voice output is on.</w:t>
      </w:r>
    </w:p>
    <w:p>
      <w:pPr>
        <w:keepNext/>
        <w:spacing w:before="200" w:after="60"/>
      </w:pPr>
      <w:r>
        <w:rPr>
          <w:b/>
          <w:color w:val="2E5C8A"/>
          <w:sz w:val="23"/>
        </w:rPr>
        <w:t>4.3 Why NDJSON on one connection</w:t>
      </w:r>
    </w:p>
    <w:p>
      <w:r>
        <w:t>The obvious alternative was three round trips per turn: classify, fetch context, then reply. That triples the number of things that can fail and makes ordering a matter of luck.</w:t>
      </w:r>
    </w:p>
    <w:p>
      <w:r>
        <w:t>NDJSON over a single response gives one connection, one degradation path, and a guaranteed order: analysis always arrives before the first spoken token. Each line is an independent JSON object, so the client can add new event types without a version negotiation, and a half-finished stream still leaves a readable partial reply.</w:t>
      </w:r>
    </w:p>
    <w:p>
      <w:pPr>
        <w:keepNext/>
        <w:spacing w:before="200" w:after="60"/>
      </w:pPr>
      <w:r>
        <w:rPr>
          <w:b/>
          <w:color w:val="2E5C8A"/>
          <w:sz w:val="23"/>
        </w:rPr>
        <w:t>4.4 Endpoint contract</w:t>
      </w:r>
    </w:p>
    <w:p>
      <w:r>
        <w:rPr>
          <w:rFonts w:ascii="Consolas" w:hAnsi="Consolas"/>
        </w:rPr>
        <w:t>POST /api/turn</w:t>
      </w:r>
      <w:r>
        <w:t xml:space="preserve"> — request </w:t>
      </w:r>
      <w:r>
        <w:rPr>
          <w:rFonts w:ascii="Consolas" w:hAnsi="Consolas"/>
        </w:rPr>
        <w:t>{ "caller": string, "history": [{ "role", "text" }] }</w:t>
      </w:r>
    </w:p>
    <w:tbl>
      <w:tblPr>
        <w:tblStyle w:val="TableGrid"/>
        <w:tblW w:type="auto" w:w="0"/>
        <w:jc w:val="center"/>
        <w:tblLook w:firstColumn="1" w:firstRow="1" w:lastColumn="0" w:lastRow="0" w:noHBand="0" w:noVBand="1" w:val="04A0"/>
      </w:tblPr>
      <w:tblGrid>
        <w:gridCol w:w="3216"/>
        <w:gridCol w:w="3216"/>
        <w:gridCol w:w="3216"/>
      </w:tblGrid>
      <w:tr>
        <w:trPr>
          <w:cantSplit/>
          <w:tblHeader w:val="true"/>
        </w:trPr>
        <w:tc>
          <w:tcPr>
            <w:tcW w:type="dxa" w:w="3216"/>
            <w:shd w:val="clear" w:color="auto" w:fill="E8EDF4"/>
          </w:tcPr>
          <w:p>
            <w:pPr>
              <w:spacing w:after="40"/>
            </w:pPr>
            <w:r>
              <w:rPr>
                <w:b/>
                <w:sz w:val="19"/>
              </w:rPr>
              <w:t>Event</w:t>
            </w:r>
          </w:p>
        </w:tc>
        <w:tc>
          <w:tcPr>
            <w:tcW w:type="dxa" w:w="3216"/>
            <w:shd w:val="clear" w:color="auto" w:fill="E8EDF4"/>
          </w:tcPr>
          <w:p>
            <w:pPr>
              <w:spacing w:after="40"/>
            </w:pPr>
            <w:r>
              <w:rPr>
                <w:b/>
                <w:sz w:val="19"/>
              </w:rPr>
              <w:t>Payload</w:t>
            </w:r>
          </w:p>
        </w:tc>
        <w:tc>
          <w:tcPr>
            <w:tcW w:type="dxa" w:w="3216"/>
            <w:shd w:val="clear" w:color="auto" w:fill="E8EDF4"/>
          </w:tcPr>
          <w:p>
            <w:pPr>
              <w:spacing w:after="40"/>
            </w:pPr>
            <w:r>
              <w:rPr>
                <w:b/>
                <w:sz w:val="19"/>
              </w:rPr>
              <w:t>Meaning</w:t>
            </w:r>
          </w:p>
        </w:tc>
      </w:tr>
      <w:tr>
        <w:trPr>
          <w:cantSplit/>
        </w:trPr>
        <w:tc>
          <w:tcPr>
            <w:tcW w:type="dxa" w:w="3216"/>
          </w:tcPr>
          <w:p>
            <w:pPr>
              <w:spacing w:after="40"/>
            </w:pPr>
            <w:r>
              <w:rPr>
                <w:rFonts w:ascii="Consolas" w:hAnsi="Consolas"/>
                <w:sz w:val="18"/>
              </w:rPr>
              <w:t>analysis</w:t>
            </w:r>
          </w:p>
        </w:tc>
        <w:tc>
          <w:tcPr>
            <w:tcW w:type="dxa" w:w="3216"/>
          </w:tcPr>
          <w:p>
            <w:pPr>
              <w:spacing w:after="40"/>
            </w:pPr>
            <w:r>
              <w:rPr>
                <w:rFonts w:ascii="Consolas" w:hAnsi="Consolas"/>
                <w:sz w:val="18"/>
              </w:rPr>
              <w:t>model</w:t>
            </w:r>
            <w:r>
              <w:rPr>
                <w:sz w:val="19"/>
              </w:rPr>
              <w:t xml:space="preserve">, </w:t>
            </w:r>
            <w:r>
              <w:rPr>
                <w:rFonts w:ascii="Consolas" w:hAnsi="Consolas"/>
                <w:sz w:val="18"/>
              </w:rPr>
              <w:t>ms</w:t>
            </w:r>
            <w:r>
              <w:rPr>
                <w:sz w:val="19"/>
              </w:rPr>
              <w:t xml:space="preserve">, </w:t>
            </w:r>
            <w:r>
              <w:rPr>
                <w:rFonts w:ascii="Consolas" w:hAnsi="Consolas"/>
                <w:sz w:val="18"/>
              </w:rPr>
              <w:t>data</w:t>
            </w:r>
          </w:p>
        </w:tc>
        <w:tc>
          <w:tcPr>
            <w:tcW w:type="dxa" w:w="3216"/>
          </w:tcPr>
          <w:p>
            <w:pPr>
              <w:spacing w:after="40"/>
            </w:pPr>
            <w:r>
              <w:rPr>
                <w:sz w:val="19"/>
              </w:rPr>
              <w:t>Nano's classification for this turn</w:t>
            </w:r>
          </w:p>
        </w:tc>
      </w:tr>
      <w:tr>
        <w:trPr>
          <w:cantSplit/>
        </w:trPr>
        <w:tc>
          <w:tcPr>
            <w:tcW w:type="dxa" w:w="3216"/>
          </w:tcPr>
          <w:p>
            <w:pPr>
              <w:spacing w:after="40"/>
            </w:pPr>
            <w:r>
              <w:rPr>
                <w:rFonts w:ascii="Consolas" w:hAnsi="Consolas"/>
                <w:sz w:val="18"/>
              </w:rPr>
              <w:t>context</w:t>
            </w:r>
          </w:p>
        </w:tc>
        <w:tc>
          <w:tcPr>
            <w:tcW w:type="dxa" w:w="3216"/>
          </w:tcPr>
          <w:p>
            <w:pPr>
              <w:spacing w:after="40"/>
            </w:pPr>
            <w:r>
              <w:rPr>
                <w:rFonts w:ascii="Consolas" w:hAnsi="Consolas"/>
                <w:sz w:val="18"/>
              </w:rPr>
              <w:t>query</w:t>
            </w:r>
            <w:r>
              <w:rPr>
                <w:sz w:val="19"/>
              </w:rPr>
              <w:t xml:space="preserve">, </w:t>
            </w:r>
            <w:r>
              <w:rPr>
                <w:rFonts w:ascii="Consolas" w:hAnsi="Consolas"/>
                <w:sz w:val="18"/>
              </w:rPr>
              <w:t>items[]</w:t>
            </w:r>
          </w:p>
        </w:tc>
        <w:tc>
          <w:tcPr>
            <w:tcW w:type="dxa" w:w="3216"/>
          </w:tcPr>
          <w:p>
            <w:pPr>
              <w:spacing w:after="40"/>
            </w:pPr>
            <w:r>
              <w:rPr>
                <w:sz w:val="19"/>
              </w:rPr>
              <w:t>Tavily results, only when a company was mentioned</w:t>
            </w:r>
          </w:p>
        </w:tc>
      </w:tr>
      <w:tr>
        <w:trPr>
          <w:cantSplit/>
        </w:trPr>
        <w:tc>
          <w:tcPr>
            <w:tcW w:type="dxa" w:w="3216"/>
          </w:tcPr>
          <w:p>
            <w:pPr>
              <w:spacing w:after="40"/>
            </w:pPr>
            <w:r>
              <w:rPr>
                <w:rFonts w:ascii="Consolas" w:hAnsi="Consolas"/>
                <w:sz w:val="18"/>
              </w:rPr>
              <w:t>speaking</w:t>
            </w:r>
          </w:p>
        </w:tc>
        <w:tc>
          <w:tcPr>
            <w:tcW w:type="dxa" w:w="3216"/>
          </w:tcPr>
          <w:p>
            <w:pPr>
              <w:spacing w:after="40"/>
            </w:pPr>
            <w:r>
              <w:rPr>
                <w:rFonts w:ascii="Consolas" w:hAnsi="Consolas"/>
                <w:sz w:val="18"/>
              </w:rPr>
              <w:t>model</w:t>
            </w:r>
          </w:p>
        </w:tc>
        <w:tc>
          <w:tcPr>
            <w:tcW w:type="dxa" w:w="3216"/>
          </w:tcPr>
          <w:p>
            <w:pPr>
              <w:spacing w:after="40"/>
            </w:pPr>
            <w:r>
              <w:rPr>
                <w:sz w:val="19"/>
              </w:rPr>
              <w:t>Super is about to stream</w:t>
            </w:r>
          </w:p>
        </w:tc>
      </w:tr>
      <w:tr>
        <w:trPr>
          <w:cantSplit/>
        </w:trPr>
        <w:tc>
          <w:tcPr>
            <w:tcW w:type="dxa" w:w="3216"/>
          </w:tcPr>
          <w:p>
            <w:pPr>
              <w:spacing w:after="40"/>
            </w:pPr>
            <w:r>
              <w:rPr>
                <w:rFonts w:ascii="Consolas" w:hAnsi="Consolas"/>
                <w:sz w:val="18"/>
              </w:rPr>
              <w:t>delta</w:t>
            </w:r>
          </w:p>
        </w:tc>
        <w:tc>
          <w:tcPr>
            <w:tcW w:type="dxa" w:w="3216"/>
          </w:tcPr>
          <w:p>
            <w:pPr>
              <w:spacing w:after="40"/>
            </w:pPr>
            <w:r>
              <w:rPr>
                <w:rFonts w:ascii="Consolas" w:hAnsi="Consolas"/>
                <w:sz w:val="18"/>
              </w:rPr>
              <w:t>text</w:t>
            </w:r>
          </w:p>
        </w:tc>
        <w:tc>
          <w:tcPr>
            <w:tcW w:type="dxa" w:w="3216"/>
          </w:tcPr>
          <w:p>
            <w:pPr>
              <w:spacing w:after="40"/>
            </w:pPr>
            <w:r>
              <w:rPr>
                <w:sz w:val="19"/>
              </w:rPr>
              <w:t>One fragment of the reply</w:t>
            </w:r>
          </w:p>
        </w:tc>
      </w:tr>
      <w:tr>
        <w:trPr>
          <w:cantSplit/>
        </w:trPr>
        <w:tc>
          <w:tcPr>
            <w:tcW w:type="dxa" w:w="3216"/>
          </w:tcPr>
          <w:p>
            <w:pPr>
              <w:spacing w:after="40"/>
            </w:pPr>
            <w:r>
              <w:rPr>
                <w:rFonts w:ascii="Consolas" w:hAnsi="Consolas"/>
                <w:sz w:val="18"/>
              </w:rPr>
              <w:t>done</w:t>
            </w:r>
          </w:p>
        </w:tc>
        <w:tc>
          <w:tcPr>
            <w:tcW w:type="dxa" w:w="3216"/>
          </w:tcPr>
          <w:p>
            <w:pPr>
              <w:spacing w:after="40"/>
            </w:pPr>
            <w:r>
              <w:rPr>
                <w:rFonts w:ascii="Consolas" w:hAnsi="Consolas"/>
                <w:sz w:val="18"/>
              </w:rPr>
              <w:t>model</w:t>
            </w:r>
            <w:r>
              <w:rPr>
                <w:sz w:val="19"/>
              </w:rPr>
              <w:t xml:space="preserve">, </w:t>
            </w:r>
            <w:r>
              <w:rPr>
                <w:rFonts w:ascii="Consolas" w:hAnsi="Consolas"/>
                <w:sz w:val="18"/>
              </w:rPr>
              <w:t>ms</w:t>
            </w:r>
            <w:r>
              <w:rPr>
                <w:sz w:val="19"/>
              </w:rPr>
              <w:t xml:space="preserve">, </w:t>
            </w:r>
            <w:r>
              <w:rPr>
                <w:rFonts w:ascii="Consolas" w:hAnsi="Consolas"/>
                <w:sz w:val="18"/>
              </w:rPr>
              <w:t>analysis</w:t>
            </w:r>
          </w:p>
        </w:tc>
        <w:tc>
          <w:tcPr>
            <w:tcW w:type="dxa" w:w="3216"/>
          </w:tcPr>
          <w:p>
            <w:pPr>
              <w:spacing w:after="40"/>
            </w:pPr>
            <w:r>
              <w:rPr>
                <w:sz w:val="19"/>
              </w:rPr>
              <w:t>The turn is closed</w:t>
            </w:r>
          </w:p>
        </w:tc>
      </w:tr>
      <w:tr>
        <w:trPr>
          <w:cantSplit/>
        </w:trPr>
        <w:tc>
          <w:tcPr>
            <w:tcW w:type="dxa" w:w="3216"/>
          </w:tcPr>
          <w:p>
            <w:pPr>
              <w:spacing w:after="40"/>
            </w:pPr>
            <w:r>
              <w:rPr>
                <w:rFonts w:ascii="Consolas" w:hAnsi="Consolas"/>
                <w:sz w:val="18"/>
              </w:rPr>
              <w:t>error</w:t>
            </w:r>
          </w:p>
        </w:tc>
        <w:tc>
          <w:tcPr>
            <w:tcW w:type="dxa" w:w="3216"/>
          </w:tcPr>
          <w:p>
            <w:pPr>
              <w:spacing w:after="40"/>
            </w:pPr>
            <w:r>
              <w:rPr>
                <w:rFonts w:ascii="Consolas" w:hAnsi="Consolas"/>
                <w:sz w:val="18"/>
              </w:rPr>
              <w:t>message</w:t>
            </w:r>
          </w:p>
        </w:tc>
        <w:tc>
          <w:tcPr>
            <w:tcW w:type="dxa" w:w="3216"/>
          </w:tcPr>
          <w:p>
            <w:pPr>
              <w:spacing w:after="40"/>
            </w:pPr>
            <w:r>
              <w:rPr>
                <w:sz w:val="19"/>
              </w:rPr>
              <w:t>A model or network failure, surfaced in the UI</w:t>
            </w:r>
          </w:p>
        </w:tc>
      </w:tr>
    </w:tbl>
    <w:p>
      <w:pPr>
        <w:spacing w:after="40"/>
      </w:pPr>
    </w:p>
    <w:p>
      <w:r>
        <w:rPr>
          <w:rFonts w:ascii="Consolas" w:hAnsi="Consolas"/>
        </w:rPr>
        <w:t>POST /api/summary</w:t>
      </w:r>
      <w:r>
        <w:t xml:space="preserve"> — request </w:t>
      </w:r>
      <w:r>
        <w:rPr>
          <w:rFonts w:ascii="Consolas" w:hAnsi="Consolas"/>
        </w:rPr>
        <w:t>{ "history", "analysis": [] }</w:t>
      </w:r>
      <w:r>
        <w:t xml:space="preserve"> → </w:t>
      </w:r>
      <w:r>
        <w:rPr>
          <w:rFonts w:ascii="Consolas" w:hAnsi="Consolas"/>
        </w:rPr>
        <w:t>{ model, ms, summary }</w:t>
      </w:r>
      <w:r>
        <w:t>.</w:t>
      </w:r>
    </w:p>
    <w:p>
      <w:r>
        <w:rPr>
          <w:rFonts w:ascii="Consolas" w:hAnsi="Consolas"/>
        </w:rPr>
        <w:t>GET /health</w:t>
      </w:r>
      <w:r>
        <w:t xml:space="preserve"> → </w:t>
      </w:r>
      <w:r>
        <w:rPr>
          <w:rFonts w:ascii="Consolas" w:hAnsi="Consolas"/>
        </w:rPr>
        <w:t>{ mode, models, tavily, base }</w:t>
      </w:r>
      <w:r>
        <w:t>. The badge in the interface is driven entirely by this endpoint, which is why mock mode can never be mistaken for a live model.</w:t>
      </w:r>
    </w:p>
    <w:p>
      <w:pPr>
        <w:keepNext/>
        <w:spacing w:before="200" w:after="60"/>
      </w:pPr>
      <w:r>
        <w:rPr>
          <w:b/>
          <w:color w:val="2E5C8A"/>
          <w:sz w:val="23"/>
        </w:rPr>
        <w:t>4.5 Failure behaviour</w:t>
      </w:r>
    </w:p>
    <w:tbl>
      <w:tblPr>
        <w:tblStyle w:val="TableGrid"/>
        <w:tblW w:type="auto" w:w="0"/>
        <w:jc w:val="center"/>
        <w:tblLook w:firstColumn="1" w:firstRow="1" w:lastColumn="0" w:lastRow="0" w:noHBand="0" w:noVBand="1" w:val="04A0"/>
      </w:tblPr>
      <w:tblGrid>
        <w:gridCol w:w="4824"/>
        <w:gridCol w:w="4824"/>
      </w:tblGrid>
      <w:tr>
        <w:trPr>
          <w:cantSplit/>
          <w:tblHeader w:val="true"/>
        </w:trPr>
        <w:tc>
          <w:tcPr>
            <w:tcW w:type="dxa" w:w="4824"/>
            <w:shd w:val="clear" w:color="auto" w:fill="E8EDF4"/>
          </w:tcPr>
          <w:p>
            <w:pPr>
              <w:spacing w:after="40"/>
            </w:pPr>
            <w:r>
              <w:rPr>
                <w:b/>
                <w:sz w:val="19"/>
              </w:rPr>
              <w:t>Failure</w:t>
            </w:r>
          </w:p>
        </w:tc>
        <w:tc>
          <w:tcPr>
            <w:tcW w:type="dxa" w:w="4824"/>
            <w:shd w:val="clear" w:color="auto" w:fill="E8EDF4"/>
          </w:tcPr>
          <w:p>
            <w:pPr>
              <w:spacing w:after="40"/>
            </w:pPr>
            <w:r>
              <w:rPr>
                <w:b/>
                <w:sz w:val="19"/>
              </w:rPr>
              <w:t>What the caller experiences</w:t>
            </w:r>
          </w:p>
        </w:tc>
      </w:tr>
      <w:tr>
        <w:trPr>
          <w:cantSplit/>
        </w:trPr>
        <w:tc>
          <w:tcPr>
            <w:tcW w:type="dxa" w:w="4824"/>
          </w:tcPr>
          <w:p>
            <w:pPr>
              <w:spacing w:after="40"/>
            </w:pPr>
            <w:r>
              <w:rPr>
                <w:sz w:val="19"/>
              </w:rPr>
              <w:t>Classifier times out</w:t>
            </w:r>
          </w:p>
        </w:tc>
        <w:tc>
          <w:tcPr>
            <w:tcW w:type="dxa" w:w="4824"/>
          </w:tcPr>
          <w:p>
            <w:pPr>
              <w:spacing w:after="40"/>
            </w:pPr>
            <w:r>
              <w:rPr>
                <w:sz w:val="19"/>
              </w:rPr>
              <w:t>Rail stays on the previous turn; the reply still streams</w:t>
            </w:r>
          </w:p>
        </w:tc>
      </w:tr>
      <w:tr>
        <w:trPr>
          <w:cantSplit/>
        </w:trPr>
        <w:tc>
          <w:tcPr>
            <w:tcW w:type="dxa" w:w="4824"/>
          </w:tcPr>
          <w:p>
            <w:pPr>
              <w:spacing w:after="40"/>
            </w:pPr>
            <w:r>
              <w:rPr>
                <w:sz w:val="19"/>
              </w:rPr>
              <w:t>Classifier returns broken JSON</w:t>
            </w:r>
          </w:p>
        </w:tc>
        <w:tc>
          <w:tcPr>
            <w:tcW w:type="dxa" w:w="4824"/>
          </w:tcPr>
          <w:p>
            <w:pPr>
              <w:spacing w:after="40"/>
            </w:pPr>
            <w:r>
              <w:rPr>
                <w:sz w:val="19"/>
              </w:rPr>
              <w:t>Defaults merged in; the turn continues with a generic intent</w:t>
            </w:r>
          </w:p>
        </w:tc>
      </w:tr>
      <w:tr>
        <w:trPr>
          <w:cantSplit/>
        </w:trPr>
        <w:tc>
          <w:tcPr>
            <w:tcW w:type="dxa" w:w="4824"/>
          </w:tcPr>
          <w:p>
            <w:pPr>
              <w:spacing w:after="40"/>
            </w:pPr>
            <w:r>
              <w:rPr>
                <w:sz w:val="19"/>
              </w:rPr>
              <w:t>Reply model times out</w:t>
            </w:r>
          </w:p>
        </w:tc>
        <w:tc>
          <w:tcPr>
            <w:tcW w:type="dxa" w:w="4824"/>
          </w:tcPr>
          <w:p>
            <w:pPr>
              <w:spacing w:after="40"/>
            </w:pPr>
            <w:r>
              <w:rPr>
                <w:sz w:val="19"/>
              </w:rPr>
              <w:t>An error event and a toast; the transcript keeps what was already spoken</w:t>
            </w:r>
          </w:p>
        </w:tc>
      </w:tr>
      <w:tr>
        <w:trPr>
          <w:cantSplit/>
        </w:trPr>
        <w:tc>
          <w:tcPr>
            <w:tcW w:type="dxa" w:w="4824"/>
          </w:tcPr>
          <w:p>
            <w:pPr>
              <w:spacing w:after="40"/>
            </w:pPr>
            <w:r>
              <w:rPr>
                <w:sz w:val="19"/>
              </w:rPr>
              <w:t>Wrong model id</w:t>
            </w:r>
          </w:p>
        </w:tc>
        <w:tc>
          <w:tcPr>
            <w:tcW w:type="dxa" w:w="4824"/>
          </w:tcPr>
          <w:p>
            <w:pPr>
              <w:spacing w:after="40"/>
            </w:pPr>
            <w:r>
              <w:rPr>
                <w:sz w:val="19"/>
              </w:rPr>
              <w:t>A 404 from Token Factory, surfaced as a model error, not a silent hang</w:t>
            </w:r>
          </w:p>
        </w:tc>
      </w:tr>
      <w:tr>
        <w:trPr>
          <w:cantSplit/>
        </w:trPr>
        <w:tc>
          <w:tcPr>
            <w:tcW w:type="dxa" w:w="4824"/>
          </w:tcPr>
          <w:p>
            <w:pPr>
              <w:spacing w:after="40"/>
            </w:pPr>
            <w:r>
              <w:rPr>
                <w:sz w:val="19"/>
              </w:rPr>
              <w:t>Tavily fails or is slow</w:t>
            </w:r>
          </w:p>
        </w:tc>
        <w:tc>
          <w:tcPr>
            <w:tcW w:type="dxa" w:w="4824"/>
          </w:tcPr>
          <w:p>
            <w:pPr>
              <w:spacing w:after="40"/>
            </w:pPr>
            <w:r>
              <w:rPr>
                <w:sz w:val="19"/>
              </w:rPr>
              <w:t>Ignored after 8 seconds; the turn is unaffected</w:t>
            </w:r>
          </w:p>
        </w:tc>
      </w:tr>
      <w:tr>
        <w:trPr>
          <w:cantSplit/>
        </w:trPr>
        <w:tc>
          <w:tcPr>
            <w:tcW w:type="dxa" w:w="4824"/>
          </w:tcPr>
          <w:p>
            <w:pPr>
              <w:spacing w:after="40"/>
            </w:pPr>
            <w:r>
              <w:rPr>
                <w:sz w:val="19"/>
              </w:rPr>
              <w:t>No API key at all</w:t>
            </w:r>
          </w:p>
        </w:tc>
        <w:tc>
          <w:tcPr>
            <w:tcW w:type="dxa" w:w="4824"/>
          </w:tcPr>
          <w:p>
            <w:pPr>
              <w:spacing w:after="40"/>
            </w:pPr>
            <w:r>
              <w:rPr>
                <w:sz w:val="19"/>
              </w:rPr>
              <w:t>Mock mode, with the badge stating it plainly</w:t>
            </w:r>
          </w:p>
        </w:tc>
      </w:tr>
    </w:tbl>
    <w:p>
      <w:pPr>
        <w:spacing w:after="40"/>
      </w:pPr>
    </w:p>
    <w:p>
      <w:r>
        <w:t>The rule behind the table: a failure should degrade one thing, never the call.</w:t>
      </w:r>
    </w:p>
    <w:p>
      <w:pPr>
        <w:spacing w:before="40" w:after="160"/>
        <w:pBdr>
          <w:bottom w:val="single" w:sz="6" w:space="1" w:color="D3DCE8"/>
        </w:pBdr>
      </w:pPr>
    </w:p>
    <w:p>
      <w:pPr>
        <w:keepNext/>
        <w:spacing w:before="280" w:after="80"/>
        <w:pBdr>
          <w:bottom w:val="single" w:sz="6" w:space="3" w:color="2E5C8A"/>
        </w:pBdr>
      </w:pPr>
      <w:r>
        <w:rPr>
          <w:b/>
          <w:color w:val="1F3864"/>
          <w:sz w:val="28"/>
        </w:rPr>
        <w:t>5. The tiering design in detail</w:t>
      </w:r>
    </w:p>
    <w:p>
      <w:r>
        <w:t>The split is easiest to see as a timeline. Each row is one model's work during a single four-turn call, and the shaded band is the only stretch of time in which the caller is waiting for anything.</w:t>
      </w:r>
    </w:p>
    <w:p>
      <w:pPr>
        <w:keepNext/>
        <w:spacing w:before="160" w:after="80"/>
        <w:jc w:val="center"/>
      </w:pPr>
      <w:r>
        <w:drawing>
          <wp:inline xmlns:a="http://schemas.openxmlformats.org/drawingml/2006/main" xmlns:pic="http://schemas.openxmlformats.org/drawingml/2006/picture">
            <wp:extent cx="5669280" cy="2379073"/>
            <wp:docPr id="4" name="Picture 4"/>
            <wp:cNvGraphicFramePr>
              <a:graphicFrameLocks noChangeAspect="1"/>
            </wp:cNvGraphicFramePr>
            <a:graphic>
              <a:graphicData uri="http://schemas.openxmlformats.org/drawingml/2006/picture">
                <pic:pic>
                  <pic:nvPicPr>
                    <pic:cNvPr id="0" name="fig2-tier-timeline.png"/>
                    <pic:cNvPicPr/>
                  </pic:nvPicPr>
                  <pic:blipFill>
                    <a:blip r:embed="rId13"/>
                    <a:stretch>
                      <a:fillRect/>
                    </a:stretch>
                  </pic:blipFill>
                  <pic:spPr>
                    <a:xfrm>
                      <a:off x="0" y="0"/>
                      <a:ext cx="5669280" cy="2379073"/>
                    </a:xfrm>
                    <a:prstGeom prst="rect"/>
                  </pic:spPr>
                </pic:pic>
              </a:graphicData>
            </a:graphic>
          </wp:inline>
        </w:drawing>
      </w:r>
    </w:p>
    <w:p>
      <w:pPr>
        <w:spacing w:after="240"/>
        <w:jc w:val="center"/>
      </w:pPr>
      <w:r>
        <w:rPr>
          <w:i/>
          <w:color w:val="5A5A5A"/>
          <w:sz w:val="17"/>
        </w:rPr>
        <w:t>Figure 3 — The same call on three clocks. The two small models pay their latency on every turn; the large model pays it once, after the caller has gone.</w:t>
      </w:r>
    </w:p>
    <w:tbl>
      <w:tblPr>
        <w:tblStyle w:val="TableGrid"/>
        <w:tblW w:type="auto" w:w="0"/>
        <w:jc w:val="center"/>
        <w:tblLook w:firstColumn="1" w:firstRow="1" w:lastColumn="0" w:lastRow="0" w:noHBand="0" w:noVBand="1" w:val="04A0"/>
      </w:tblPr>
      <w:tblGrid>
        <w:gridCol w:w="2412"/>
        <w:gridCol w:w="2412"/>
        <w:gridCol w:w="2412"/>
        <w:gridCol w:w="2412"/>
      </w:tblGrid>
      <w:tr>
        <w:trPr>
          <w:cantSplit/>
          <w:tblHeader w:val="true"/>
        </w:trPr>
        <w:tc>
          <w:tcPr>
            <w:tcW w:type="dxa" w:w="2412"/>
            <w:shd w:val="clear" w:color="auto" w:fill="E8EDF4"/>
          </w:tcPr>
          <w:p>
            <w:pPr>
              <w:spacing w:after="40"/>
            </w:pPr>
          </w:p>
        </w:tc>
        <w:tc>
          <w:tcPr>
            <w:tcW w:type="dxa" w:w="2412"/>
            <w:shd w:val="clear" w:color="auto" w:fill="E8EDF4"/>
          </w:tcPr>
          <w:p>
            <w:pPr>
              <w:spacing w:after="40"/>
            </w:pPr>
            <w:r>
              <w:rPr>
                <w:b/>
                <w:sz w:val="19"/>
              </w:rPr>
              <w:t>Nano</w:t>
            </w:r>
          </w:p>
        </w:tc>
        <w:tc>
          <w:tcPr>
            <w:tcW w:type="dxa" w:w="2412"/>
            <w:shd w:val="clear" w:color="auto" w:fill="E8EDF4"/>
          </w:tcPr>
          <w:p>
            <w:pPr>
              <w:spacing w:after="40"/>
            </w:pPr>
            <w:r>
              <w:rPr>
                <w:b/>
                <w:sz w:val="19"/>
              </w:rPr>
              <w:t>Super</w:t>
            </w:r>
          </w:p>
        </w:tc>
        <w:tc>
          <w:tcPr>
            <w:tcW w:type="dxa" w:w="2412"/>
            <w:shd w:val="clear" w:color="auto" w:fill="E8EDF4"/>
          </w:tcPr>
          <w:p>
            <w:pPr>
              <w:spacing w:after="40"/>
            </w:pPr>
            <w:r>
              <w:rPr>
                <w:b/>
                <w:sz w:val="19"/>
              </w:rPr>
              <w:t>Ultra</w:t>
            </w:r>
          </w:p>
        </w:tc>
      </w:tr>
      <w:tr>
        <w:trPr>
          <w:cantSplit/>
        </w:trPr>
        <w:tc>
          <w:tcPr>
            <w:tcW w:type="dxa" w:w="2412"/>
          </w:tcPr>
          <w:p>
            <w:pPr>
              <w:spacing w:after="40"/>
            </w:pPr>
            <w:r>
              <w:rPr>
                <w:sz w:val="19"/>
              </w:rPr>
              <w:t>Question it answers</w:t>
            </w:r>
          </w:p>
        </w:tc>
        <w:tc>
          <w:tcPr>
            <w:tcW w:type="dxa" w:w="2412"/>
          </w:tcPr>
          <w:p>
            <w:pPr>
              <w:spacing w:after="40"/>
            </w:pPr>
            <w:r>
              <w:rPr>
                <w:sz w:val="19"/>
              </w:rPr>
              <w:t>"what is happening?"</w:t>
            </w:r>
          </w:p>
        </w:tc>
        <w:tc>
          <w:tcPr>
            <w:tcW w:type="dxa" w:w="2412"/>
          </w:tcPr>
          <w:p>
            <w:pPr>
              <w:spacing w:after="40"/>
            </w:pPr>
            <w:r>
              <w:rPr>
                <w:sz w:val="19"/>
              </w:rPr>
              <w:t>"what do we say?"</w:t>
            </w:r>
          </w:p>
        </w:tc>
        <w:tc>
          <w:tcPr>
            <w:tcW w:type="dxa" w:w="2412"/>
          </w:tcPr>
          <w:p>
            <w:pPr>
              <w:spacing w:after="40"/>
            </w:pPr>
            <w:r>
              <w:rPr>
                <w:sz w:val="19"/>
              </w:rPr>
              <w:t>"what happened, overall?"</w:t>
            </w:r>
          </w:p>
        </w:tc>
      </w:tr>
      <w:tr>
        <w:trPr>
          <w:cantSplit/>
        </w:trPr>
        <w:tc>
          <w:tcPr>
            <w:tcW w:type="dxa" w:w="2412"/>
          </w:tcPr>
          <w:p>
            <w:pPr>
              <w:spacing w:after="40"/>
            </w:pPr>
            <w:r>
              <w:rPr>
                <w:sz w:val="19"/>
              </w:rPr>
              <w:t>Output</w:t>
            </w:r>
          </w:p>
        </w:tc>
        <w:tc>
          <w:tcPr>
            <w:tcW w:type="dxa" w:w="2412"/>
          </w:tcPr>
          <w:p>
            <w:pPr>
              <w:spacing w:after="40"/>
            </w:pPr>
            <w:r>
              <w:rPr>
                <w:sz w:val="19"/>
              </w:rPr>
              <w:t>JSON, ~8 fields</w:t>
            </w:r>
          </w:p>
        </w:tc>
        <w:tc>
          <w:tcPr>
            <w:tcW w:type="dxa" w:w="2412"/>
          </w:tcPr>
          <w:p>
            <w:pPr>
              <w:spacing w:after="40"/>
            </w:pPr>
            <w:r>
              <w:rPr>
                <w:sz w:val="19"/>
              </w:rPr>
              <w:t>speakable prose, ≤ 2 sentences</w:t>
            </w:r>
          </w:p>
        </w:tc>
        <w:tc>
          <w:tcPr>
            <w:tcW w:type="dxa" w:w="2412"/>
          </w:tcPr>
          <w:p>
            <w:pPr>
              <w:spacing w:after="40"/>
            </w:pPr>
            <w:r>
              <w:rPr>
                <w:sz w:val="19"/>
              </w:rPr>
              <w:t>JSON, 10 fields</w:t>
            </w:r>
          </w:p>
        </w:tc>
      </w:tr>
      <w:tr>
        <w:trPr>
          <w:cantSplit/>
        </w:trPr>
        <w:tc>
          <w:tcPr>
            <w:tcW w:type="dxa" w:w="2412"/>
          </w:tcPr>
          <w:p>
            <w:pPr>
              <w:spacing w:after="40"/>
            </w:pPr>
            <w:r>
              <w:rPr>
                <w:sz w:val="19"/>
              </w:rPr>
              <w:t>Temperature</w:t>
            </w:r>
          </w:p>
        </w:tc>
        <w:tc>
          <w:tcPr>
            <w:tcW w:type="dxa" w:w="2412"/>
          </w:tcPr>
          <w:p>
            <w:pPr>
              <w:spacing w:after="40"/>
            </w:pPr>
            <w:r>
              <w:rPr>
                <w:sz w:val="19"/>
              </w:rPr>
              <w:t>0</w:t>
            </w:r>
          </w:p>
        </w:tc>
        <w:tc>
          <w:tcPr>
            <w:tcW w:type="dxa" w:w="2412"/>
          </w:tcPr>
          <w:p>
            <w:pPr>
              <w:spacing w:after="40"/>
            </w:pPr>
            <w:r>
              <w:rPr>
                <w:sz w:val="19"/>
              </w:rPr>
              <w:t>0.4</w:t>
            </w:r>
          </w:p>
        </w:tc>
        <w:tc>
          <w:tcPr>
            <w:tcW w:type="dxa" w:w="2412"/>
          </w:tcPr>
          <w:p>
            <w:pPr>
              <w:spacing w:after="40"/>
            </w:pPr>
            <w:r>
              <w:rPr>
                <w:sz w:val="19"/>
              </w:rPr>
              <w:t>0.2</w:t>
            </w:r>
          </w:p>
        </w:tc>
      </w:tr>
      <w:tr>
        <w:trPr>
          <w:cantSplit/>
        </w:trPr>
        <w:tc>
          <w:tcPr>
            <w:tcW w:type="dxa" w:w="2412"/>
          </w:tcPr>
          <w:p>
            <w:pPr>
              <w:spacing w:after="40"/>
            </w:pPr>
            <w:r>
              <w:rPr>
                <w:sz w:val="19"/>
              </w:rPr>
              <w:t>Constraints</w:t>
            </w:r>
          </w:p>
        </w:tc>
        <w:tc>
          <w:tcPr>
            <w:tcW w:type="dxa" w:w="2412"/>
          </w:tcPr>
          <w:p>
            <w:pPr>
              <w:spacing w:after="40"/>
            </w:pPr>
            <w:r>
              <w:rPr>
                <w:sz w:val="19"/>
              </w:rPr>
              <w:t>short schema, no prose</w:t>
            </w:r>
          </w:p>
        </w:tc>
        <w:tc>
          <w:tcPr>
            <w:tcW w:type="dxa" w:w="2412"/>
          </w:tcPr>
          <w:p>
            <w:pPr>
              <w:spacing w:after="40"/>
            </w:pPr>
            <w:r>
              <w:rPr>
                <w:sz w:val="19"/>
              </w:rPr>
              <w:t>no markdown, no lists, no invented facts</w:t>
            </w:r>
          </w:p>
        </w:tc>
        <w:tc>
          <w:tcPr>
            <w:tcW w:type="dxa" w:w="2412"/>
          </w:tcPr>
          <w:p>
            <w:pPr>
              <w:spacing w:after="40"/>
            </w:pPr>
            <w:r>
              <w:rPr>
                <w:sz w:val="19"/>
              </w:rPr>
              <w:t>facts only from the transcript</w:t>
            </w:r>
          </w:p>
        </w:tc>
      </w:tr>
      <w:tr>
        <w:trPr>
          <w:cantSplit/>
        </w:trPr>
        <w:tc>
          <w:tcPr>
            <w:tcW w:type="dxa" w:w="2412"/>
          </w:tcPr>
          <w:p>
            <w:pPr>
              <w:spacing w:after="40"/>
            </w:pPr>
            <w:r>
              <w:rPr>
                <w:sz w:val="19"/>
              </w:rPr>
              <w:t>Runs</w:t>
            </w:r>
          </w:p>
        </w:tc>
        <w:tc>
          <w:tcPr>
            <w:tcW w:type="dxa" w:w="2412"/>
          </w:tcPr>
          <w:p>
            <w:pPr>
              <w:spacing w:after="40"/>
            </w:pPr>
            <w:r>
              <w:rPr>
                <w:sz w:val="19"/>
              </w:rPr>
              <w:t>every turn</w:t>
            </w:r>
          </w:p>
        </w:tc>
        <w:tc>
          <w:tcPr>
            <w:tcW w:type="dxa" w:w="2412"/>
          </w:tcPr>
          <w:p>
            <w:pPr>
              <w:spacing w:after="40"/>
            </w:pPr>
            <w:r>
              <w:rPr>
                <w:sz w:val="19"/>
              </w:rPr>
              <w:t>every turn</w:t>
            </w:r>
          </w:p>
        </w:tc>
        <w:tc>
          <w:tcPr>
            <w:tcW w:type="dxa" w:w="2412"/>
          </w:tcPr>
          <w:p>
            <w:pPr>
              <w:spacing w:after="40"/>
            </w:pPr>
            <w:r>
              <w:rPr>
                <w:sz w:val="19"/>
              </w:rPr>
              <w:t>once per call</w:t>
            </w:r>
          </w:p>
        </w:tc>
      </w:tr>
      <w:tr>
        <w:trPr>
          <w:cantSplit/>
        </w:trPr>
        <w:tc>
          <w:tcPr>
            <w:tcW w:type="dxa" w:w="2412"/>
          </w:tcPr>
          <w:p>
            <w:pPr>
              <w:spacing w:after="40"/>
            </w:pPr>
            <w:r>
              <w:rPr>
                <w:sz w:val="19"/>
              </w:rPr>
              <w:t>Failure impact</w:t>
            </w:r>
          </w:p>
        </w:tc>
        <w:tc>
          <w:tcPr>
            <w:tcW w:type="dxa" w:w="2412"/>
          </w:tcPr>
          <w:p>
            <w:pPr>
              <w:spacing w:after="40"/>
            </w:pPr>
            <w:r>
              <w:rPr>
                <w:sz w:val="19"/>
              </w:rPr>
              <w:t>the rail is stale</w:t>
            </w:r>
          </w:p>
        </w:tc>
        <w:tc>
          <w:tcPr>
            <w:tcW w:type="dxa" w:w="2412"/>
          </w:tcPr>
          <w:p>
            <w:pPr>
              <w:spacing w:after="40"/>
            </w:pPr>
            <w:r>
              <w:rPr>
                <w:sz w:val="19"/>
              </w:rPr>
              <w:t>the caller hears nothing</w:t>
            </w:r>
          </w:p>
        </w:tc>
        <w:tc>
          <w:tcPr>
            <w:tcW w:type="dxa" w:w="2412"/>
          </w:tcPr>
          <w:p>
            <w:pPr>
              <w:spacing w:after="40"/>
            </w:pPr>
            <w:r>
              <w:rPr>
                <w:sz w:val="19"/>
              </w:rPr>
              <w:t>there is no record</w:t>
            </w:r>
          </w:p>
        </w:tc>
      </w:tr>
      <w:tr>
        <w:trPr>
          <w:cantSplit/>
        </w:trPr>
        <w:tc>
          <w:tcPr>
            <w:tcW w:type="dxa" w:w="2412"/>
          </w:tcPr>
          <w:p>
            <w:pPr>
              <w:spacing w:after="40"/>
            </w:pPr>
            <w:r>
              <w:rPr>
                <w:sz w:val="19"/>
              </w:rPr>
              <w:t>Mitigation</w:t>
            </w:r>
          </w:p>
        </w:tc>
        <w:tc>
          <w:tcPr>
            <w:tcW w:type="dxa" w:w="2412"/>
          </w:tcPr>
          <w:p>
            <w:pPr>
              <w:spacing w:after="40"/>
            </w:pPr>
            <w:r>
              <w:rPr>
                <w:sz w:val="19"/>
              </w:rPr>
              <w:t>defaults merged in</w:t>
            </w:r>
          </w:p>
        </w:tc>
        <w:tc>
          <w:tcPr>
            <w:tcW w:type="dxa" w:w="2412"/>
          </w:tcPr>
          <w:p>
            <w:pPr>
              <w:spacing w:after="40"/>
            </w:pPr>
            <w:r>
              <w:rPr>
                <w:sz w:val="19"/>
              </w:rPr>
              <w:t>error event and toast</w:t>
            </w:r>
          </w:p>
        </w:tc>
        <w:tc>
          <w:tcPr>
            <w:tcW w:type="dxa" w:w="2412"/>
          </w:tcPr>
          <w:p>
            <w:pPr>
              <w:spacing w:after="40"/>
            </w:pPr>
            <w:r>
              <w:rPr>
                <w:sz w:val="19"/>
              </w:rPr>
              <w:t>retry, plus a mock-shaped fallback</w:t>
            </w:r>
          </w:p>
        </w:tc>
      </w:tr>
    </w:tbl>
    <w:p>
      <w:pPr>
        <w:spacing w:after="40"/>
      </w:pPr>
    </w:p>
    <w:p>
      <w:r>
        <w:rPr>
          <w:b/>
        </w:rPr>
        <w:t>Why not one model?</w:t>
      </w:r>
      <w:r>
        <w:t xml:space="preserve"> A single large model pays its latency on every turn, including the trivial ones, and its cost grows with the length of the conversation rather than with the difficulty of the work. The split means the expensive model runs once per call, on the part of the job that genuinely needs reasoning: reconciling what the caller wanted with what actually happened, and writing it down in a form a human can act on.</w:t>
      </w:r>
    </w:p>
    <w:p>
      <w:r>
        <w:rPr>
          <w:b/>
        </w:rPr>
        <w:t>Why not three models everywhere?</w:t>
      </w:r>
      <w:r>
        <w:t xml:space="preserve"> Nano cannot write a good call record, and Ultra is wasted on intent classification. Each tier is deliberately unable to do the others' job — that is what makes the routing meaningful rather than decorative.</w:t>
      </w:r>
    </w:p>
    <w:p>
      <w:r>
        <w:rPr>
          <w:b/>
        </w:rPr>
        <w:t>What the split buys, concretely.</w:t>
      </w:r>
      <w:r>
        <w:t xml:space="preserve"> In a four-turn call the two small models are invoked eight times and the large one once. If the caller is waiting on eight of those nine calls and not on the ninth, the expensive model has been moved entirely out of the caller's perceived latency, without reducing what the business gets at the end.</w:t>
      </w:r>
    </w:p>
    <w:p>
      <w:r>
        <w:rPr>
          <w:b/>
        </w:rPr>
        <w:t>What it costs in complexity.</w:t>
      </w:r>
      <w:r>
        <w:t xml:space="preserve"> Three prompts instead of one, three failure modes instead of one, and a routing panel in the interface to keep all of it honest. The prompts in </w:t>
      </w:r>
      <w:r>
        <w:rPr>
          <w:rFonts w:ascii="Consolas" w:hAnsi="Consolas"/>
        </w:rPr>
        <w:t>lib/prompts.mjs</w:t>
      </w:r>
      <w:r>
        <w:t xml:space="preserve"> are the actual product logic; the rest of the code is plumbing.</w:t>
      </w:r>
    </w:p>
    <w:p>
      <w:pPr>
        <w:spacing w:before="40" w:after="160"/>
        <w:pBdr>
          <w:bottom w:val="single" w:sz="6" w:space="1" w:color="D3DCE8"/>
        </w:pBdr>
      </w:pPr>
    </w:p>
    <w:p>
      <w:pPr>
        <w:keepNext/>
        <w:spacing w:before="280" w:after="80"/>
        <w:pBdr>
          <w:bottom w:val="single" w:sz="6" w:space="3" w:color="2E5C8A"/>
        </w:pBdr>
      </w:pPr>
      <w:r>
        <w:rPr>
          <w:b/>
          <w:color w:val="1F3864"/>
          <w:sz w:val="28"/>
        </w:rPr>
        <w:t>6. Grounding and safety</w:t>
      </w:r>
    </w:p>
    <w:p>
      <w:r>
        <w:t>A support agent that invents a delivery date is worse than one that says "let me get you a human". Three rules enforce that.</w:t>
      </w:r>
    </w:p>
    <w:p>
      <w:pPr>
        <w:keepNext/>
        <w:spacing w:before="160" w:after="80"/>
        <w:jc w:val="center"/>
      </w:pPr>
      <w:r>
        <w:drawing>
          <wp:inline xmlns:a="http://schemas.openxmlformats.org/drawingml/2006/main" xmlns:pic="http://schemas.openxmlformats.org/drawingml/2006/picture">
            <wp:extent cx="5669280" cy="3628339"/>
            <wp:docPr id="5" name="Picture 5"/>
            <wp:cNvGraphicFramePr>
              <a:graphicFrameLocks noChangeAspect="1"/>
            </wp:cNvGraphicFramePr>
            <a:graphic>
              <a:graphicData uri="http://schemas.openxmlformats.org/drawingml/2006/picture">
                <pic:pic>
                  <pic:nvPicPr>
                    <pic:cNvPr id="0" name="fig4-grounding.png"/>
                    <pic:cNvPicPr/>
                  </pic:nvPicPr>
                  <pic:blipFill>
                    <a:blip r:embed="rId14"/>
                    <a:stretch>
                      <a:fillRect/>
                    </a:stretch>
                  </pic:blipFill>
                  <pic:spPr>
                    <a:xfrm>
                      <a:off x="0" y="0"/>
                      <a:ext cx="5669280" cy="3628339"/>
                    </a:xfrm>
                    <a:prstGeom prst="rect"/>
                  </pic:spPr>
                </pic:pic>
              </a:graphicData>
            </a:graphic>
          </wp:inline>
        </w:drawing>
      </w:r>
    </w:p>
    <w:p>
      <w:pPr>
        <w:spacing w:after="240"/>
        <w:jc w:val="center"/>
      </w:pPr>
      <w:r>
        <w:rPr>
          <w:i/>
          <w:color w:val="5A5A5A"/>
          <w:sz w:val="17"/>
        </w:rPr>
        <w:t>Figure 4 — The grounding rule as a decision. The escalation flag is a model output, so it is logged, testable and visible, not hidden in the interface.</w:t>
      </w:r>
    </w:p>
    <w:p>
      <w:pPr>
        <w:spacing w:after="60"/>
        <w:ind w:left="403"/>
      </w:pPr>
      <w:r>
        <w:rPr>
          <w:color w:val="2E5C8A"/>
        </w:rPr>
        <w:t xml:space="preserve">1. </w:t>
      </w:r>
      <w:r>
        <w:rPr>
          <w:b/>
        </w:rPr>
        <w:t>Closed knowledge block.</w:t>
      </w:r>
      <w:r>
        <w:t xml:space="preserve"> The reply model receives only the approved orders, hours and FAQs, and is told those are the only facts it may answer from. It is not asked to be careful; it is given nothing else to be careless with.</w:t>
      </w:r>
    </w:p>
    <w:p>
      <w:pPr>
        <w:spacing w:after="60"/>
        <w:ind w:left="403"/>
      </w:pPr>
      <w:r>
        <w:rPr>
          <w:color w:val="2E5C8A"/>
        </w:rPr>
        <w:t xml:space="preserve">2. </w:t>
      </w:r>
      <w:r>
        <w:rPr>
          <w:b/>
        </w:rPr>
        <w:t>Escalation is a model output, not a UI guess.</w:t>
      </w:r>
      <w:r>
        <w:t xml:space="preserve"> The </w:t>
      </w:r>
      <w:r>
        <w:rPr>
          <w:rFonts w:ascii="Consolas" w:hAnsi="Consolas"/>
        </w:rPr>
        <w:t>escalate</w:t>
      </w:r>
      <w:r>
        <w:t xml:space="preserve"> boolean comes from the classification tier. The interface renders it and never decides it.</w:t>
      </w:r>
    </w:p>
    <w:p>
      <w:pPr>
        <w:spacing w:after="60"/>
        <w:ind w:left="403"/>
      </w:pPr>
      <w:r>
        <w:rPr>
          <w:color w:val="2E5C8A"/>
        </w:rPr>
        <w:t xml:space="preserve">3. </w:t>
      </w:r>
      <w:r>
        <w:rPr>
          <w:b/>
        </w:rPr>
        <w:t>Underivable questions fall back.</w:t>
      </w:r>
      <w:r>
        <w:t xml:space="preserve"> Anything outside the block becomes a handoff sentence. The Week 1 prototype enforced this with regular expressions; the rule survives, the enforcement is now semantic.</w:t>
      </w:r>
    </w:p>
    <w:p>
      <w:r>
        <w:t xml:space="preserve">The sample data is fictional and is labelled as such in </w:t>
      </w:r>
      <w:r>
        <w:rPr>
          <w:rFonts w:ascii="Consolas" w:hAnsi="Consolas"/>
        </w:rPr>
        <w:t>lib/data.mjs</w:t>
      </w:r>
      <w:r>
        <w:t xml:space="preserve"> and in the README, so a reader cannot mistake the demo orders for customer data.</w:t>
      </w:r>
    </w:p>
    <w:p>
      <w:r>
        <w:rPr>
          <w:b/>
        </w:rPr>
        <w:t>What this does not claim.</w:t>
      </w:r>
      <w:r>
        <w:t xml:space="preserve"> Grounding constrains the reply model; it does not make the classifier infallible. A misclassified turn can still produce a confident, wrong routing decision. That is why the rail shows the intent and the urgency rather than hiding them, and why the transcript is the record of truth when the two disagree.</w:t>
      </w:r>
    </w:p>
    <w:p>
      <w:pPr>
        <w:spacing w:before="40" w:after="160"/>
        <w:pBdr>
          <w:bottom w:val="single" w:sz="6" w:space="1" w:color="D3DCE8"/>
        </w:pBdr>
      </w:pPr>
    </w:p>
    <w:p>
      <w:pPr>
        <w:keepNext/>
        <w:spacing w:before="280" w:after="80"/>
        <w:pBdr>
          <w:bottom w:val="single" w:sz="6" w:space="3" w:color="2E5C8A"/>
        </w:pBdr>
      </w:pPr>
      <w:r>
        <w:rPr>
          <w:b/>
          <w:color w:val="1F3864"/>
          <w:sz w:val="28"/>
        </w:rPr>
        <w:t>7. Voice</w:t>
      </w:r>
    </w:p>
    <w:p>
      <w:pPr>
        <w:spacing w:after="60"/>
        <w:ind w:left="403"/>
      </w:pPr>
      <w:r>
        <w:rPr>
          <w:color w:val="2E5C8A"/>
        </w:rPr>
        <w:t xml:space="preserve">•  </w:t>
      </w:r>
      <w:r>
        <w:rPr>
          <w:b/>
        </w:rPr>
        <w:t>Input:</w:t>
      </w:r>
      <w:r>
        <w:t xml:space="preserve"> </w:t>
      </w:r>
      <w:r>
        <w:rPr>
          <w:rFonts w:ascii="Consolas" w:hAnsi="Consolas"/>
        </w:rPr>
        <w:t>SpeechRecognition</w:t>
      </w:r>
      <w:r>
        <w:t xml:space="preserve"> / </w:t>
      </w:r>
      <w:r>
        <w:rPr>
          <w:rFonts w:ascii="Consolas" w:hAnsi="Consolas"/>
        </w:rPr>
        <w:t>webkitSpeechRecognition</w:t>
      </w:r>
      <w:r>
        <w:t xml:space="preserve"> in Chrome and Edge. Interim results fill the composer as the caller speaks; the final result sends itself.</w:t>
      </w:r>
    </w:p>
    <w:p>
      <w:pPr>
        <w:spacing w:after="60"/>
        <w:ind w:left="403"/>
      </w:pPr>
      <w:r>
        <w:rPr>
          <w:color w:val="2E5C8A"/>
        </w:rPr>
        <w:t xml:space="preserve">•  </w:t>
      </w:r>
      <w:r>
        <w:rPr>
          <w:b/>
        </w:rPr>
        <w:t>Output:</w:t>
      </w:r>
      <w:r>
        <w:t xml:space="preserve"> </w:t>
      </w:r>
      <w:r>
        <w:rPr>
          <w:rFonts w:ascii="Consolas" w:hAnsi="Consolas"/>
        </w:rPr>
        <w:t>speechSynthesis</w:t>
      </w:r>
      <w:r>
        <w:t xml:space="preserve"> reads the completed reply, with a mute toggle in the header. It speaks the finished sentence, not the token stream, so the caller never hears a half-built sentence.</w:t>
      </w:r>
    </w:p>
    <w:p>
      <w:pPr>
        <w:spacing w:after="60"/>
        <w:ind w:left="403"/>
      </w:pPr>
      <w:r>
        <w:rPr>
          <w:color w:val="2E5C8A"/>
        </w:rPr>
        <w:t xml:space="preserve">•  </w:t>
      </w:r>
      <w:r>
        <w:rPr>
          <w:b/>
        </w:rPr>
        <w:t>Why browser speech instead of telephony:</w:t>
      </w:r>
      <w:r>
        <w:t xml:space="preserve"> a SIP trunk and a phone number are a procurement problem, not an engineering one, and they would not have been ready in a two-day window. Browser speech keeps the demo self-contained and still proves the loop that matters — speech in, model decision, speech out.</w:t>
      </w:r>
    </w:p>
    <w:p>
      <w:pPr>
        <w:spacing w:after="60"/>
        <w:ind w:left="403"/>
      </w:pPr>
      <w:r>
        <w:rPr>
          <w:color w:val="2E5C8A"/>
        </w:rPr>
        <w:t xml:space="preserve">•  </w:t>
      </w:r>
      <w:r>
        <w:rPr>
          <w:b/>
        </w:rPr>
        <w:t>Honest limit:</w:t>
      </w:r>
      <w:r>
        <w:t xml:space="preserve"> this is not a phone call. There is no PSTN, no barge-in, no echo cancellation and no hold music. Section 17 says what replacing it would take.</w:t>
      </w:r>
    </w:p>
    <w:p>
      <w:pPr>
        <w:spacing w:before="40" w:after="160"/>
        <w:pBdr>
          <w:bottom w:val="single" w:sz="6" w:space="1" w:color="D3DCE8"/>
        </w:pBdr>
      </w:pPr>
    </w:p>
    <w:p>
      <w:pPr>
        <w:keepNext/>
        <w:spacing w:before="280" w:after="80"/>
        <w:pBdr>
          <w:bottom w:val="single" w:sz="6" w:space="3" w:color="2E5C8A"/>
        </w:pBdr>
      </w:pPr>
      <w:r>
        <w:rPr>
          <w:b/>
          <w:color w:val="1F3864"/>
          <w:sz w:val="28"/>
        </w:rPr>
        <w:t>8. The interface</w:t>
      </w:r>
    </w:p>
    <w:p>
      <w:pPr>
        <w:keepNext/>
        <w:spacing w:before="160" w:after="8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shot-console.png"/>
                    <pic:cNvPicPr/>
                  </pic:nvPicPr>
                  <pic:blipFill>
                    <a:blip r:embed="rId15"/>
                    <a:stretch>
                      <a:fillRect/>
                    </a:stretch>
                  </pic:blipFill>
                  <pic:spPr>
                    <a:xfrm>
                      <a:off x="0" y="0"/>
                      <a:ext cx="5669280" cy="3543300"/>
                    </a:xfrm>
                    <a:prstGeom prst="rect"/>
                  </pic:spPr>
                </pic:pic>
              </a:graphicData>
            </a:graphic>
          </wp:inline>
        </w:drawing>
      </w:r>
    </w:p>
    <w:p>
      <w:pPr>
        <w:spacing w:after="240"/>
        <w:jc w:val="center"/>
      </w:pPr>
      <w:r>
        <w:rPr>
          <w:i/>
          <w:color w:val="5A5A5A"/>
          <w:sz w:val="17"/>
        </w:rPr>
        <w:t>Figure 5 — The console after two turns: the transcript on the left, the live analysis rail and the per-tier routing timings on the right. The badge states that this is mock mode.</w:t>
      </w:r>
    </w:p>
    <w:p>
      <w:r>
        <w:t>The interface is one surface, because a support agent should not be switching tabs while a customer is talking. Reading left to right, it answers three questions in order: what was said, what is happening, and how the machine decided.</w:t>
      </w:r>
    </w:p>
    <w:p>
      <w:pPr>
        <w:spacing w:after="60"/>
        <w:ind w:left="403"/>
      </w:pPr>
      <w:r>
        <w:rPr>
          <w:color w:val="2E5C8A"/>
        </w:rPr>
        <w:t xml:space="preserve">•  </w:t>
      </w:r>
      <w:r>
        <w:rPr>
          <w:b/>
        </w:rPr>
        <w:t>The transcript</w:t>
      </w:r>
      <w:r>
        <w:t xml:space="preserve"> is the primary object. Caller and agent turns are visually distinct, and agent turns stream in rather than appearing whole, so the reader can see the model working.</w:t>
      </w:r>
    </w:p>
    <w:p>
      <w:pPr>
        <w:spacing w:after="60"/>
        <w:ind w:left="403"/>
      </w:pPr>
      <w:r>
        <w:rPr>
          <w:color w:val="2E5C8A"/>
        </w:rPr>
        <w:t xml:space="preserve">•  </w:t>
      </w:r>
      <w:r>
        <w:rPr>
          <w:b/>
        </w:rPr>
        <w:t>The analysis rail</w:t>
      </w:r>
      <w:r>
        <w:t xml:space="preserve"> shows intent, sentiment, urgency as a five-segment meter, the order id the model extracted, and the suggested next action.</w:t>
      </w:r>
    </w:p>
    <w:p>
      <w:pPr>
        <w:spacing w:after="60"/>
        <w:ind w:left="403"/>
      </w:pPr>
      <w:r>
        <w:rPr>
          <w:color w:val="2E5C8A"/>
        </w:rPr>
        <w:t xml:space="preserve">•  </w:t>
      </w:r>
      <w:r>
        <w:rPr>
          <w:b/>
        </w:rPr>
        <w:t>The routing panel</w:t>
      </w:r>
      <w:r>
        <w:t xml:space="preserve"> shows the three tiers, their model ids and their last measured latency. This is the part most support tools hide; showing it makes the tiering a visible design decision rather than a claim in a README.</w:t>
      </w:r>
    </w:p>
    <w:p>
      <w:pPr>
        <w:spacing w:after="60"/>
        <w:ind w:left="403"/>
      </w:pPr>
      <w:r>
        <w:rPr>
          <w:color w:val="2E5C8A"/>
        </w:rPr>
        <w:t xml:space="preserve">•  </w:t>
      </w:r>
      <w:r>
        <w:rPr>
          <w:b/>
        </w:rPr>
        <w:t>The mode badge</w:t>
      </w:r>
      <w:r>
        <w:t xml:space="preserve"> states live or mock at all times. It exists because a demo in mock mode that looks live is a lie, and because a judge should never have to guess.</w:t>
      </w:r>
    </w:p>
    <w:p>
      <w:r>
        <w:t>Design notes: a near-black background with a single lime accent keeps urgency and escalation signals legible; colour is never the only carrier of meaning, since each state also has a label; the layout collapses to a single column below 1080 px, and the composer stays reachable on small screens.</w:t>
      </w:r>
    </w:p>
    <w:p>
      <w:pPr>
        <w:spacing w:before="40" w:after="160"/>
        <w:pBdr>
          <w:bottom w:val="single" w:sz="6" w:space="1" w:color="D3DCE8"/>
        </w:pBdr>
      </w:pPr>
    </w:p>
    <w:p>
      <w:pPr>
        <w:keepNext/>
        <w:spacing w:before="280" w:after="80"/>
        <w:pBdr>
          <w:bottom w:val="single" w:sz="6" w:space="3" w:color="2E5C8A"/>
        </w:pBdr>
      </w:pPr>
      <w:r>
        <w:rPr>
          <w:b/>
          <w:color w:val="1F3864"/>
          <w:sz w:val="28"/>
        </w:rPr>
        <w:t>9. The post-call record</w:t>
      </w:r>
    </w:p>
    <w:p>
      <w:pPr>
        <w:keepNext/>
        <w:spacing w:before="160" w:after="8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shot-summary.png"/>
                    <pic:cNvPicPr/>
                  </pic:nvPicPr>
                  <pic:blipFill>
                    <a:blip r:embed="rId16"/>
                    <a:stretch>
                      <a:fillRect/>
                    </a:stretch>
                  </pic:blipFill>
                  <pic:spPr>
                    <a:xfrm>
                      <a:off x="0" y="0"/>
                      <a:ext cx="5669280" cy="3543300"/>
                    </a:xfrm>
                    <a:prstGeom prst="rect"/>
                  </pic:spPr>
                </pic:pic>
              </a:graphicData>
            </a:graphic>
          </wp:inline>
        </w:drawing>
      </w:r>
    </w:p>
    <w:p>
      <w:pPr>
        <w:spacing w:after="240"/>
        <w:jc w:val="center"/>
      </w:pPr>
      <w:r>
        <w:rPr>
          <w:i/>
          <w:color w:val="5A5A5A"/>
          <w:sz w:val="17"/>
        </w:rPr>
        <w:t>Figure 6 — The record written by Nemotron 3 Ultra after the caller hangs up. The model badge and the elapsed time are part of the artefact.</w:t>
      </w:r>
    </w:p>
    <w:p>
      <w:r>
        <w:t>The record is the part of a support call that is most often lost and most useful later. CallLens asks Ultra for a fixed set of fields rather than a paragraph, so the output can be pasted into a ticket, read by a manager, or compared across calls.</w:t>
      </w:r>
    </w:p>
    <w:tbl>
      <w:tblPr>
        <w:tblStyle w:val="TableGrid"/>
        <w:tblW w:type="auto" w:w="0"/>
        <w:jc w:val="center"/>
        <w:tblLook w:firstColumn="1" w:firstRow="1" w:lastColumn="0" w:lastRow="0" w:noHBand="0" w:noVBand="1" w:val="04A0"/>
      </w:tblPr>
      <w:tblGrid>
        <w:gridCol w:w="4824"/>
        <w:gridCol w:w="4824"/>
      </w:tblGrid>
      <w:tr>
        <w:trPr>
          <w:cantSplit/>
          <w:tblHeader w:val="true"/>
        </w:trPr>
        <w:tc>
          <w:tcPr>
            <w:tcW w:type="dxa" w:w="4824"/>
            <w:shd w:val="clear" w:color="auto" w:fill="E8EDF4"/>
          </w:tcPr>
          <w:p>
            <w:pPr>
              <w:spacing w:after="40"/>
            </w:pPr>
            <w:r>
              <w:rPr>
                <w:b/>
                <w:sz w:val="19"/>
              </w:rPr>
              <w:t>Field</w:t>
            </w:r>
          </w:p>
        </w:tc>
        <w:tc>
          <w:tcPr>
            <w:tcW w:type="dxa" w:w="4824"/>
            <w:shd w:val="clear" w:color="auto" w:fill="E8EDF4"/>
          </w:tcPr>
          <w:p>
            <w:pPr>
              <w:spacing w:after="40"/>
            </w:pPr>
            <w:r>
              <w:rPr>
                <w:b/>
                <w:sz w:val="19"/>
              </w:rPr>
              <w:t>What it is for</w:t>
            </w:r>
          </w:p>
        </w:tc>
      </w:tr>
      <w:tr>
        <w:trPr>
          <w:cantSplit/>
        </w:trPr>
        <w:tc>
          <w:tcPr>
            <w:tcW w:type="dxa" w:w="4824"/>
          </w:tcPr>
          <w:p>
            <w:pPr>
              <w:spacing w:after="40"/>
            </w:pPr>
            <w:r>
              <w:rPr>
                <w:rFonts w:ascii="Consolas" w:hAnsi="Consolas"/>
                <w:sz w:val="18"/>
              </w:rPr>
              <w:t>headline</w:t>
            </w:r>
          </w:p>
        </w:tc>
        <w:tc>
          <w:tcPr>
            <w:tcW w:type="dxa" w:w="4824"/>
          </w:tcPr>
          <w:p>
            <w:pPr>
              <w:spacing w:after="40"/>
            </w:pPr>
            <w:r>
              <w:rPr>
                <w:sz w:val="19"/>
              </w:rPr>
              <w:t>One line a queue can be sorted by</w:t>
            </w:r>
          </w:p>
        </w:tc>
      </w:tr>
      <w:tr>
        <w:trPr>
          <w:cantSplit/>
        </w:trPr>
        <w:tc>
          <w:tcPr>
            <w:tcW w:type="dxa" w:w="4824"/>
          </w:tcPr>
          <w:p>
            <w:pPr>
              <w:spacing w:after="40"/>
            </w:pPr>
            <w:r>
              <w:rPr>
                <w:rFonts w:ascii="Consolas" w:hAnsi="Consolas"/>
                <w:sz w:val="18"/>
              </w:rPr>
              <w:t>summary</w:t>
            </w:r>
          </w:p>
        </w:tc>
        <w:tc>
          <w:tcPr>
            <w:tcW w:type="dxa" w:w="4824"/>
          </w:tcPr>
          <w:p>
            <w:pPr>
              <w:spacing w:after="40"/>
            </w:pPr>
            <w:r>
              <w:rPr>
                <w:sz w:val="19"/>
              </w:rPr>
              <w:t>Three sentences of context for whoever picks it up</w:t>
            </w:r>
          </w:p>
        </w:tc>
      </w:tr>
      <w:tr>
        <w:trPr>
          <w:cantSplit/>
        </w:trPr>
        <w:tc>
          <w:tcPr>
            <w:tcW w:type="dxa" w:w="4824"/>
          </w:tcPr>
          <w:p>
            <w:pPr>
              <w:spacing w:after="40"/>
            </w:pPr>
            <w:r>
              <w:rPr>
                <w:rFonts w:ascii="Consolas" w:hAnsi="Consolas"/>
                <w:sz w:val="18"/>
              </w:rPr>
              <w:t>issue</w:t>
            </w:r>
          </w:p>
        </w:tc>
        <w:tc>
          <w:tcPr>
            <w:tcW w:type="dxa" w:w="4824"/>
          </w:tcPr>
          <w:p>
            <w:pPr>
              <w:spacing w:after="40"/>
            </w:pPr>
            <w:r>
              <w:rPr>
                <w:sz w:val="19"/>
              </w:rPr>
              <w:t>The reason for the call, in the caller's terms</w:t>
            </w:r>
          </w:p>
        </w:tc>
      </w:tr>
      <w:tr>
        <w:trPr>
          <w:cantSplit/>
        </w:trPr>
        <w:tc>
          <w:tcPr>
            <w:tcW w:type="dxa" w:w="4824"/>
          </w:tcPr>
          <w:p>
            <w:pPr>
              <w:spacing w:after="40"/>
            </w:pPr>
            <w:r>
              <w:rPr>
                <w:rFonts w:ascii="Consolas" w:hAnsi="Consolas"/>
                <w:sz w:val="18"/>
              </w:rPr>
              <w:t>resolution</w:t>
            </w:r>
          </w:p>
        </w:tc>
        <w:tc>
          <w:tcPr>
            <w:tcW w:type="dxa" w:w="4824"/>
          </w:tcPr>
          <w:p>
            <w:pPr>
              <w:spacing w:after="40"/>
            </w:pPr>
            <w:r>
              <w:rPr>
                <w:sz w:val="19"/>
              </w:rPr>
              <w:t>What the agent did, and whether anything is outstanding</w:t>
            </w:r>
          </w:p>
        </w:tc>
      </w:tr>
      <w:tr>
        <w:trPr>
          <w:cantSplit/>
        </w:trPr>
        <w:tc>
          <w:tcPr>
            <w:tcW w:type="dxa" w:w="4824"/>
          </w:tcPr>
          <w:p>
            <w:pPr>
              <w:spacing w:after="40"/>
            </w:pPr>
            <w:r>
              <w:rPr>
                <w:rFonts w:ascii="Consolas" w:hAnsi="Consolas"/>
                <w:sz w:val="18"/>
              </w:rPr>
              <w:t>sentiment</w:t>
            </w:r>
            <w:r>
              <w:rPr>
                <w:sz w:val="19"/>
              </w:rPr>
              <w:t xml:space="preserve">, </w:t>
            </w:r>
            <w:r>
              <w:rPr>
                <w:rFonts w:ascii="Consolas" w:hAnsi="Consolas"/>
                <w:sz w:val="18"/>
              </w:rPr>
              <w:t>sentiment_shift</w:t>
            </w:r>
          </w:p>
        </w:tc>
        <w:tc>
          <w:tcPr>
            <w:tcW w:type="dxa" w:w="4824"/>
          </w:tcPr>
          <w:p>
            <w:pPr>
              <w:spacing w:after="40"/>
            </w:pPr>
            <w:r>
              <w:rPr>
                <w:sz w:val="19"/>
              </w:rPr>
              <w:t>How the caller felt, and whether it changed</w:t>
            </w:r>
          </w:p>
        </w:tc>
      </w:tr>
      <w:tr>
        <w:trPr>
          <w:cantSplit/>
        </w:trPr>
        <w:tc>
          <w:tcPr>
            <w:tcW w:type="dxa" w:w="4824"/>
          </w:tcPr>
          <w:p>
            <w:pPr>
              <w:spacing w:after="40"/>
            </w:pPr>
            <w:r>
              <w:rPr>
                <w:rFonts w:ascii="Consolas" w:hAnsi="Consolas"/>
                <w:sz w:val="18"/>
              </w:rPr>
              <w:t>actions</w:t>
            </w:r>
          </w:p>
        </w:tc>
        <w:tc>
          <w:tcPr>
            <w:tcW w:type="dxa" w:w="4824"/>
          </w:tcPr>
          <w:p>
            <w:pPr>
              <w:spacing w:after="40"/>
            </w:pPr>
            <w:r>
              <w:rPr>
                <w:sz w:val="19"/>
              </w:rPr>
              <w:t>Who does what next, split between agent and human team</w:t>
            </w:r>
          </w:p>
        </w:tc>
      </w:tr>
      <w:tr>
        <w:trPr>
          <w:cantSplit/>
        </w:trPr>
        <w:tc>
          <w:tcPr>
            <w:tcW w:type="dxa" w:w="4824"/>
          </w:tcPr>
          <w:p>
            <w:pPr>
              <w:spacing w:after="40"/>
            </w:pPr>
            <w:r>
              <w:rPr>
                <w:rFonts w:ascii="Consolas" w:hAnsi="Consolas"/>
                <w:sz w:val="18"/>
              </w:rPr>
              <w:t>follow_up</w:t>
            </w:r>
          </w:p>
        </w:tc>
        <w:tc>
          <w:tcPr>
            <w:tcW w:type="dxa" w:w="4824"/>
          </w:tcPr>
          <w:p>
            <w:pPr>
              <w:spacing w:after="40"/>
            </w:pPr>
            <w:r>
              <w:rPr>
                <w:sz w:val="19"/>
              </w:rPr>
              <w:t>The promise made to the caller, or null</w:t>
            </w:r>
          </w:p>
        </w:tc>
      </w:tr>
      <w:tr>
        <w:trPr>
          <w:cantSplit/>
        </w:trPr>
        <w:tc>
          <w:tcPr>
            <w:tcW w:type="dxa" w:w="4824"/>
          </w:tcPr>
          <w:p>
            <w:pPr>
              <w:spacing w:after="40"/>
            </w:pPr>
            <w:r>
              <w:rPr>
                <w:rFonts w:ascii="Consolas" w:hAnsi="Consolas"/>
                <w:sz w:val="18"/>
              </w:rPr>
              <w:t>risk</w:t>
            </w:r>
          </w:p>
        </w:tc>
        <w:tc>
          <w:tcPr>
            <w:tcW w:type="dxa" w:w="4824"/>
          </w:tcPr>
          <w:p>
            <w:pPr>
              <w:spacing w:after="40"/>
            </w:pPr>
            <w:r>
              <w:rPr>
                <w:sz w:val="19"/>
              </w:rPr>
              <w:t>Low, medium or high, for triage</w:t>
            </w:r>
          </w:p>
        </w:tc>
      </w:tr>
      <w:tr>
        <w:trPr>
          <w:cantSplit/>
        </w:trPr>
        <w:tc>
          <w:tcPr>
            <w:tcW w:type="dxa" w:w="4824"/>
          </w:tcPr>
          <w:p>
            <w:pPr>
              <w:spacing w:after="40"/>
            </w:pPr>
            <w:r>
              <w:rPr>
                <w:rFonts w:ascii="Consolas" w:hAnsi="Consolas"/>
                <w:sz w:val="18"/>
              </w:rPr>
              <w:t>crm_note</w:t>
            </w:r>
          </w:p>
        </w:tc>
        <w:tc>
          <w:tcPr>
            <w:tcW w:type="dxa" w:w="4824"/>
          </w:tcPr>
          <w:p>
            <w:pPr>
              <w:spacing w:after="40"/>
            </w:pPr>
            <w:r>
              <w:rPr>
                <w:sz w:val="19"/>
              </w:rPr>
              <w:t>A compact, copy-ready note in the format a CRM expects</w:t>
            </w:r>
          </w:p>
        </w:tc>
      </w:tr>
    </w:tbl>
    <w:p>
      <w:pPr>
        <w:spacing w:after="40"/>
      </w:pPr>
    </w:p>
    <w:p>
      <w:r>
        <w:t>The model call happens after the line closes, so a four-second generation costs the caller nothing. The copy button is deliberately the only action: writing back to a CRM is a permission and schema problem per customer, and pretending to solve it would be worse than leaving it as an explicit next step.</w:t>
      </w:r>
    </w:p>
    <w:p>
      <w:pPr>
        <w:spacing w:before="40" w:after="160"/>
        <w:pBdr>
          <w:bottom w:val="single" w:sz="6" w:space="1" w:color="D3DCE8"/>
        </w:pBdr>
      </w:pPr>
    </w:p>
    <w:p>
      <w:pPr>
        <w:keepNext/>
        <w:spacing w:before="280" w:after="80"/>
        <w:pBdr>
          <w:bottom w:val="single" w:sz="6" w:space="3" w:color="2E5C8A"/>
        </w:pBdr>
      </w:pPr>
      <w:r>
        <w:rPr>
          <w:b/>
          <w:color w:val="1F3864"/>
          <w:sz w:val="28"/>
        </w:rPr>
        <w:t>10. Technology choices</w:t>
      </w:r>
    </w:p>
    <w:tbl>
      <w:tblPr>
        <w:tblStyle w:val="TableGrid"/>
        <w:tblW w:type="auto" w:w="0"/>
        <w:jc w:val="center"/>
        <w:tblLook w:firstColumn="1" w:firstRow="1" w:lastColumn="0" w:lastRow="0" w:noHBand="0" w:noVBand="1" w:val="04A0"/>
      </w:tblPr>
      <w:tblGrid>
        <w:gridCol w:w="3216"/>
        <w:gridCol w:w="3216"/>
        <w:gridCol w:w="3216"/>
      </w:tblGrid>
      <w:tr>
        <w:trPr>
          <w:cantSplit/>
          <w:tblHeader w:val="true"/>
        </w:trPr>
        <w:tc>
          <w:tcPr>
            <w:tcW w:type="dxa" w:w="3216"/>
            <w:shd w:val="clear" w:color="auto" w:fill="E8EDF4"/>
          </w:tcPr>
          <w:p>
            <w:pPr>
              <w:spacing w:after="40"/>
            </w:pPr>
            <w:r>
              <w:rPr>
                <w:b/>
                <w:sz w:val="19"/>
              </w:rPr>
              <w:t>Choice</w:t>
            </w:r>
          </w:p>
        </w:tc>
        <w:tc>
          <w:tcPr>
            <w:tcW w:type="dxa" w:w="3216"/>
            <w:shd w:val="clear" w:color="auto" w:fill="E8EDF4"/>
          </w:tcPr>
          <w:p>
            <w:pPr>
              <w:spacing w:after="40"/>
            </w:pPr>
            <w:r>
              <w:rPr>
                <w:b/>
                <w:sz w:val="19"/>
              </w:rPr>
              <w:t>Reason</w:t>
            </w:r>
          </w:p>
        </w:tc>
        <w:tc>
          <w:tcPr>
            <w:tcW w:type="dxa" w:w="3216"/>
            <w:shd w:val="clear" w:color="auto" w:fill="E8EDF4"/>
          </w:tcPr>
          <w:p>
            <w:pPr>
              <w:spacing w:after="40"/>
            </w:pPr>
            <w:r>
              <w:rPr>
                <w:b/>
                <w:sz w:val="19"/>
              </w:rPr>
              <w:t>Trade-off accepted</w:t>
            </w:r>
          </w:p>
        </w:tc>
      </w:tr>
      <w:tr>
        <w:trPr>
          <w:cantSplit/>
        </w:trPr>
        <w:tc>
          <w:tcPr>
            <w:tcW w:type="dxa" w:w="3216"/>
          </w:tcPr>
          <w:p>
            <w:pPr>
              <w:spacing w:after="40"/>
            </w:pPr>
            <w:r>
              <w:rPr>
                <w:sz w:val="19"/>
              </w:rPr>
              <w:t>Node standard library only</w:t>
            </w:r>
          </w:p>
        </w:tc>
        <w:tc>
          <w:tcPr>
            <w:tcW w:type="dxa" w:w="3216"/>
          </w:tcPr>
          <w:p>
            <w:pPr>
              <w:spacing w:after="40"/>
            </w:pPr>
            <w:r>
              <w:rPr>
                <w:sz w:val="19"/>
              </w:rPr>
              <w:t>one command to run, nothing to install, nothing to break on a judge's machine</w:t>
            </w:r>
          </w:p>
        </w:tc>
        <w:tc>
          <w:tcPr>
            <w:tcW w:type="dxa" w:w="3216"/>
          </w:tcPr>
          <w:p>
            <w:pPr>
              <w:spacing w:after="40"/>
            </w:pPr>
            <w:r>
              <w:rPr>
                <w:sz w:val="19"/>
              </w:rPr>
              <w:t>no framework ergonomics</w:t>
            </w:r>
          </w:p>
        </w:tc>
      </w:tr>
      <w:tr>
        <w:trPr>
          <w:cantSplit/>
        </w:trPr>
        <w:tc>
          <w:tcPr>
            <w:tcW w:type="dxa" w:w="3216"/>
          </w:tcPr>
          <w:p>
            <w:pPr>
              <w:spacing w:after="40"/>
            </w:pPr>
            <w:r>
              <w:rPr>
                <w:sz w:val="19"/>
              </w:rPr>
              <w:t>Plain HTML, CSS and JavaScript</w:t>
            </w:r>
          </w:p>
        </w:tc>
        <w:tc>
          <w:tcPr>
            <w:tcW w:type="dxa" w:w="3216"/>
          </w:tcPr>
          <w:p>
            <w:pPr>
              <w:spacing w:after="40"/>
            </w:pPr>
            <w:r>
              <w:rPr>
                <w:sz w:val="19"/>
              </w:rPr>
              <w:t>no build step means no build failure</w:t>
            </w:r>
          </w:p>
        </w:tc>
        <w:tc>
          <w:tcPr>
            <w:tcW w:type="dxa" w:w="3216"/>
          </w:tcPr>
          <w:p>
            <w:pPr>
              <w:spacing w:after="40"/>
            </w:pPr>
            <w:r>
              <w:rPr>
                <w:sz w:val="19"/>
              </w:rPr>
              <w:t>manual DOM work</w:t>
            </w:r>
          </w:p>
        </w:tc>
      </w:tr>
      <w:tr>
        <w:trPr>
          <w:cantSplit/>
        </w:trPr>
        <w:tc>
          <w:tcPr>
            <w:tcW w:type="dxa" w:w="3216"/>
          </w:tcPr>
          <w:p>
            <w:pPr>
              <w:spacing w:after="40"/>
            </w:pPr>
            <w:r>
              <w:rPr>
                <w:sz w:val="19"/>
              </w:rPr>
              <w:t>NDJSON streaming</w:t>
            </w:r>
          </w:p>
        </w:tc>
        <w:tc>
          <w:tcPr>
            <w:tcW w:type="dxa" w:w="3216"/>
          </w:tcPr>
          <w:p>
            <w:pPr>
              <w:spacing w:after="40"/>
            </w:pPr>
            <w:r>
              <w:rPr>
                <w:sz w:val="19"/>
              </w:rPr>
              <w:t>ordering is guaranteed, one connection</w:t>
            </w:r>
          </w:p>
        </w:tc>
        <w:tc>
          <w:tcPr>
            <w:tcW w:type="dxa" w:w="3216"/>
          </w:tcPr>
          <w:p>
            <w:pPr>
              <w:spacing w:after="40"/>
            </w:pPr>
            <w:r>
              <w:rPr>
                <w:sz w:val="19"/>
              </w:rPr>
              <w:t>a small custom parser in the client</w:t>
            </w:r>
          </w:p>
        </w:tc>
      </w:tr>
      <w:tr>
        <w:trPr>
          <w:cantSplit/>
        </w:trPr>
        <w:tc>
          <w:tcPr>
            <w:tcW w:type="dxa" w:w="3216"/>
          </w:tcPr>
          <w:p>
            <w:pPr>
              <w:spacing w:after="40"/>
            </w:pPr>
            <w:r>
              <w:rPr>
                <w:sz w:val="19"/>
              </w:rPr>
              <w:t>Environment-configured model ids</w:t>
            </w:r>
          </w:p>
        </w:tc>
        <w:tc>
          <w:tcPr>
            <w:tcW w:type="dxa" w:w="3216"/>
          </w:tcPr>
          <w:p>
            <w:pPr>
              <w:spacing w:after="40"/>
            </w:pPr>
            <w:r>
              <w:rPr>
                <w:sz w:val="19"/>
              </w:rPr>
              <w:t>any Nemotron size can be swapped without a code change</w:t>
            </w:r>
          </w:p>
        </w:tc>
        <w:tc>
          <w:tcPr>
            <w:tcW w:type="dxa" w:w="3216"/>
          </w:tcPr>
          <w:p>
            <w:pPr>
              <w:spacing w:after="40"/>
            </w:pPr>
            <w:r>
              <w:rPr>
                <w:sz w:val="19"/>
              </w:rPr>
              <w:t xml:space="preserve">one more setup step, mitigated by </w:t>
            </w:r>
            <w:r>
              <w:rPr>
                <w:rFonts w:ascii="Consolas" w:hAnsi="Consolas"/>
                <w:sz w:val="18"/>
              </w:rPr>
              <w:t>npm run models</w:t>
            </w:r>
          </w:p>
        </w:tc>
      </w:tr>
      <w:tr>
        <w:trPr>
          <w:cantSplit/>
        </w:trPr>
        <w:tc>
          <w:tcPr>
            <w:tcW w:type="dxa" w:w="3216"/>
          </w:tcPr>
          <w:p>
            <w:pPr>
              <w:spacing w:after="40"/>
            </w:pPr>
            <w:r>
              <w:rPr>
                <w:sz w:val="19"/>
              </w:rPr>
              <w:t>Mock mode with the same shapes</w:t>
            </w:r>
          </w:p>
        </w:tc>
        <w:tc>
          <w:tcPr>
            <w:tcW w:type="dxa" w:w="3216"/>
          </w:tcPr>
          <w:p>
            <w:pPr>
              <w:spacing w:after="40"/>
            </w:pPr>
            <w:r>
              <w:rPr>
                <w:sz w:val="19"/>
              </w:rPr>
              <w:t>UI work and demo rehearsal without spend</w:t>
            </w:r>
          </w:p>
        </w:tc>
        <w:tc>
          <w:tcPr>
            <w:tcW w:type="dxa" w:w="3216"/>
          </w:tcPr>
          <w:p>
            <w:pPr>
              <w:spacing w:after="40"/>
            </w:pPr>
            <w:r>
              <w:rPr>
                <w:sz w:val="19"/>
              </w:rPr>
              <w:t>a demo could run in mock mode, mitigated by the always-visible badge</w:t>
            </w:r>
          </w:p>
        </w:tc>
      </w:tr>
      <w:tr>
        <w:trPr>
          <w:cantSplit/>
        </w:trPr>
        <w:tc>
          <w:tcPr>
            <w:tcW w:type="dxa" w:w="3216"/>
          </w:tcPr>
          <w:p>
            <w:pPr>
              <w:spacing w:after="40"/>
            </w:pPr>
            <w:r>
              <w:rPr>
                <w:sz w:val="19"/>
              </w:rPr>
              <w:t>Static knowledge block</w:t>
            </w:r>
          </w:p>
        </w:tc>
        <w:tc>
          <w:tcPr>
            <w:tcW w:type="dxa" w:w="3216"/>
          </w:tcPr>
          <w:p>
            <w:pPr>
              <w:spacing w:after="40"/>
            </w:pPr>
            <w:r>
              <w:rPr>
                <w:sz w:val="19"/>
              </w:rPr>
              <w:t>a small, auditable set of facts that cannot drift</w:t>
            </w:r>
          </w:p>
        </w:tc>
        <w:tc>
          <w:tcPr>
            <w:tcW w:type="dxa" w:w="3216"/>
          </w:tcPr>
          <w:p>
            <w:pPr>
              <w:spacing w:after="40"/>
            </w:pPr>
            <w:r>
              <w:rPr>
                <w:sz w:val="19"/>
              </w:rPr>
              <w:t>no retrieval; scaling it is section 17</w:t>
            </w:r>
          </w:p>
        </w:tc>
      </w:tr>
    </w:tbl>
    <w:p>
      <w:pPr>
        <w:spacing w:after="40"/>
      </w:pPr>
    </w:p>
    <w:p>
      <w:r>
        <w:t>The dependency count is zero on purpose. A judge cloning the repository runs one command, and there is no lockfile to rot, no native module to compile and no version conflict to debug on a machine we cannot see.</w:t>
      </w:r>
    </w:p>
    <w:p>
      <w:pPr>
        <w:spacing w:before="40" w:after="160"/>
        <w:pBdr>
          <w:bottom w:val="single" w:sz="6" w:space="1" w:color="D3DCE8"/>
        </w:pBdr>
      </w:pPr>
    </w:p>
    <w:p>
      <w:pPr>
        <w:keepNext/>
        <w:spacing w:before="280" w:after="80"/>
        <w:pBdr>
          <w:bottom w:val="single" w:sz="6" w:space="3" w:color="2E5C8A"/>
        </w:pBdr>
      </w:pPr>
      <w:r>
        <w:rPr>
          <w:b/>
          <w:color w:val="1F3864"/>
          <w:sz w:val="28"/>
        </w:rPr>
        <w:t>11. Code map</w:t>
      </w:r>
    </w:p>
    <w:p>
      <w:r>
        <w:t>Every file, and what it owns:</w:t>
      </w:r>
    </w:p>
    <w:tbl>
      <w:tblPr>
        <w:tblStyle w:val="TableGrid"/>
        <w:tblW w:type="auto" w:w="0"/>
        <w:jc w:val="center"/>
        <w:tblLook w:firstColumn="1" w:firstRow="1" w:lastColumn="0" w:lastRow="0" w:noHBand="0" w:noVBand="1" w:val="04A0"/>
      </w:tblPr>
      <w:tblGrid>
        <w:gridCol w:w="3216"/>
        <w:gridCol w:w="3216"/>
        <w:gridCol w:w="3216"/>
      </w:tblGrid>
      <w:tr>
        <w:trPr>
          <w:cantSplit/>
          <w:tblHeader w:val="true"/>
        </w:trPr>
        <w:tc>
          <w:tcPr>
            <w:tcW w:type="dxa" w:w="3216"/>
            <w:shd w:val="clear" w:color="auto" w:fill="E8EDF4"/>
          </w:tcPr>
          <w:p>
            <w:pPr>
              <w:spacing w:after="40"/>
            </w:pPr>
            <w:r>
              <w:rPr>
                <w:b/>
                <w:sz w:val="19"/>
              </w:rPr>
              <w:t>File</w:t>
            </w:r>
          </w:p>
        </w:tc>
        <w:tc>
          <w:tcPr>
            <w:tcW w:type="dxa" w:w="3216"/>
            <w:shd w:val="clear" w:color="auto" w:fill="E8EDF4"/>
          </w:tcPr>
          <w:p>
            <w:pPr>
              <w:spacing w:after="40"/>
            </w:pPr>
            <w:r>
              <w:rPr>
                <w:b/>
                <w:sz w:val="19"/>
              </w:rPr>
              <w:t>Lines*</w:t>
            </w:r>
          </w:p>
        </w:tc>
        <w:tc>
          <w:tcPr>
            <w:tcW w:type="dxa" w:w="3216"/>
            <w:shd w:val="clear" w:color="auto" w:fill="E8EDF4"/>
          </w:tcPr>
          <w:p>
            <w:pPr>
              <w:spacing w:after="40"/>
            </w:pPr>
            <w:r>
              <w:rPr>
                <w:b/>
                <w:sz w:val="19"/>
              </w:rPr>
              <w:t>Responsibility</w:t>
            </w:r>
          </w:p>
        </w:tc>
      </w:tr>
      <w:tr>
        <w:trPr>
          <w:cantSplit/>
        </w:trPr>
        <w:tc>
          <w:tcPr>
            <w:tcW w:type="dxa" w:w="3216"/>
          </w:tcPr>
          <w:p>
            <w:pPr>
              <w:spacing w:after="40"/>
            </w:pPr>
            <w:r>
              <w:rPr>
                <w:rFonts w:ascii="Consolas" w:hAnsi="Consolas"/>
                <w:sz w:val="18"/>
              </w:rPr>
              <w:t>server.mjs</w:t>
            </w:r>
          </w:p>
        </w:tc>
        <w:tc>
          <w:tcPr>
            <w:tcW w:type="dxa" w:w="3216"/>
          </w:tcPr>
          <w:p>
            <w:pPr>
              <w:spacing w:after="40"/>
            </w:pPr>
            <w:r>
              <w:rPr>
                <w:sz w:val="19"/>
              </w:rPr>
              <w:t>~230</w:t>
            </w:r>
          </w:p>
        </w:tc>
        <w:tc>
          <w:tcPr>
            <w:tcW w:type="dxa" w:w="3216"/>
          </w:tcPr>
          <w:p>
            <w:pPr>
              <w:spacing w:after="40"/>
            </w:pPr>
            <w:r>
              <w:rPr>
                <w:sz w:val="19"/>
              </w:rPr>
              <w:t>HTTP routing, NDJSON turn stream, summary endpoint, static files, timeouts</w:t>
            </w:r>
          </w:p>
        </w:tc>
      </w:tr>
      <w:tr>
        <w:trPr>
          <w:cantSplit/>
        </w:trPr>
        <w:tc>
          <w:tcPr>
            <w:tcW w:type="dxa" w:w="3216"/>
          </w:tcPr>
          <w:p>
            <w:pPr>
              <w:spacing w:after="40"/>
            </w:pPr>
            <w:r>
              <w:rPr>
                <w:rFonts w:ascii="Consolas" w:hAnsi="Consolas"/>
                <w:sz w:val="18"/>
              </w:rPr>
              <w:t>lib/nebius.mjs</w:t>
            </w:r>
          </w:p>
        </w:tc>
        <w:tc>
          <w:tcPr>
            <w:tcW w:type="dxa" w:w="3216"/>
          </w:tcPr>
          <w:p>
            <w:pPr>
              <w:spacing w:after="40"/>
            </w:pPr>
            <w:r>
              <w:rPr>
                <w:sz w:val="19"/>
              </w:rPr>
              <w:t>~150</w:t>
            </w:r>
          </w:p>
        </w:tc>
        <w:tc>
          <w:tcPr>
            <w:tcW w:type="dxa" w:w="3216"/>
          </w:tcPr>
          <w:p>
            <w:pPr>
              <w:spacing w:after="40"/>
            </w:pPr>
            <w:r>
              <w:rPr>
                <w:sz w:val="19"/>
              </w:rPr>
              <w:t xml:space="preserve">Token Factory client: </w:t>
            </w:r>
            <w:r>
              <w:rPr>
                <w:rFonts w:ascii="Consolas" w:hAnsi="Consolas"/>
                <w:sz w:val="18"/>
              </w:rPr>
              <w:t>chat</w:t>
            </w:r>
            <w:r>
              <w:rPr>
                <w:sz w:val="19"/>
              </w:rPr>
              <w:t xml:space="preserve">, </w:t>
            </w:r>
            <w:r>
              <w:rPr>
                <w:rFonts w:ascii="Consolas" w:hAnsi="Consolas"/>
                <w:sz w:val="18"/>
              </w:rPr>
              <w:t>chatStream</w:t>
            </w:r>
            <w:r>
              <w:rPr>
                <w:sz w:val="19"/>
              </w:rPr>
              <w:t xml:space="preserve">, </w:t>
            </w:r>
            <w:r>
              <w:rPr>
                <w:rFonts w:ascii="Consolas" w:hAnsi="Consolas"/>
                <w:sz w:val="18"/>
              </w:rPr>
              <w:t>parseJSON</w:t>
            </w:r>
            <w:r>
              <w:rPr>
                <w:sz w:val="19"/>
              </w:rPr>
              <w:t>, mode detection</w:t>
            </w:r>
          </w:p>
        </w:tc>
      </w:tr>
      <w:tr>
        <w:trPr>
          <w:cantSplit/>
        </w:trPr>
        <w:tc>
          <w:tcPr>
            <w:tcW w:type="dxa" w:w="3216"/>
          </w:tcPr>
          <w:p>
            <w:pPr>
              <w:spacing w:after="40"/>
            </w:pPr>
            <w:r>
              <w:rPr>
                <w:rFonts w:ascii="Consolas" w:hAnsi="Consolas"/>
                <w:sz w:val="18"/>
              </w:rPr>
              <w:t>lib/prompts.mjs</w:t>
            </w:r>
          </w:p>
        </w:tc>
        <w:tc>
          <w:tcPr>
            <w:tcW w:type="dxa" w:w="3216"/>
          </w:tcPr>
          <w:p>
            <w:pPr>
              <w:spacing w:after="40"/>
            </w:pPr>
            <w:r>
              <w:rPr>
                <w:sz w:val="19"/>
              </w:rPr>
              <w:t>~110</w:t>
            </w:r>
          </w:p>
        </w:tc>
        <w:tc>
          <w:tcPr>
            <w:tcW w:type="dxa" w:w="3216"/>
          </w:tcPr>
          <w:p>
            <w:pPr>
              <w:spacing w:after="40"/>
            </w:pPr>
            <w:r>
              <w:rPr>
                <w:sz w:val="19"/>
              </w:rPr>
              <w:t>the three system prompts; the actual behaviour lives here</w:t>
            </w:r>
          </w:p>
        </w:tc>
      </w:tr>
      <w:tr>
        <w:trPr>
          <w:cantSplit/>
        </w:trPr>
        <w:tc>
          <w:tcPr>
            <w:tcW w:type="dxa" w:w="3216"/>
          </w:tcPr>
          <w:p>
            <w:pPr>
              <w:spacing w:after="40"/>
            </w:pPr>
            <w:r>
              <w:rPr>
                <w:rFonts w:ascii="Consolas" w:hAnsi="Consolas"/>
                <w:sz w:val="18"/>
              </w:rPr>
              <w:t>lib/data.mjs</w:t>
            </w:r>
          </w:p>
        </w:tc>
        <w:tc>
          <w:tcPr>
            <w:tcW w:type="dxa" w:w="3216"/>
          </w:tcPr>
          <w:p>
            <w:pPr>
              <w:spacing w:after="40"/>
            </w:pPr>
            <w:r>
              <w:rPr>
                <w:sz w:val="19"/>
              </w:rPr>
              <w:t>~110</w:t>
            </w:r>
          </w:p>
        </w:tc>
        <w:tc>
          <w:tcPr>
            <w:tcW w:type="dxa" w:w="3216"/>
          </w:tcPr>
          <w:p>
            <w:pPr>
              <w:spacing w:after="40"/>
            </w:pPr>
            <w:r>
              <w:rPr>
                <w:sz w:val="19"/>
              </w:rPr>
              <w:t>approved orders, hours, FAQs, order-id extraction, knowledge block</w:t>
            </w:r>
          </w:p>
        </w:tc>
      </w:tr>
      <w:tr>
        <w:trPr>
          <w:cantSplit/>
        </w:trPr>
        <w:tc>
          <w:tcPr>
            <w:tcW w:type="dxa" w:w="3216"/>
          </w:tcPr>
          <w:p>
            <w:pPr>
              <w:spacing w:after="40"/>
            </w:pPr>
            <w:r>
              <w:rPr>
                <w:rFonts w:ascii="Consolas" w:hAnsi="Consolas"/>
                <w:sz w:val="18"/>
              </w:rPr>
              <w:t>lib/mock.mjs</w:t>
            </w:r>
          </w:p>
        </w:tc>
        <w:tc>
          <w:tcPr>
            <w:tcW w:type="dxa" w:w="3216"/>
          </w:tcPr>
          <w:p>
            <w:pPr>
              <w:spacing w:after="40"/>
            </w:pPr>
            <w:r>
              <w:rPr>
                <w:sz w:val="19"/>
              </w:rPr>
              <w:t>~140</w:t>
            </w:r>
          </w:p>
        </w:tc>
        <w:tc>
          <w:tcPr>
            <w:tcW w:type="dxa" w:w="3216"/>
          </w:tcPr>
          <w:p>
            <w:pPr>
              <w:spacing w:after="40"/>
            </w:pPr>
            <w:r>
              <w:rPr>
                <w:sz w:val="19"/>
              </w:rPr>
              <w:t>offline classifier, reply generator, summary generator</w:t>
            </w:r>
          </w:p>
        </w:tc>
      </w:tr>
      <w:tr>
        <w:trPr>
          <w:cantSplit/>
        </w:trPr>
        <w:tc>
          <w:tcPr>
            <w:tcW w:type="dxa" w:w="3216"/>
          </w:tcPr>
          <w:p>
            <w:pPr>
              <w:spacing w:after="40"/>
            </w:pPr>
            <w:r>
              <w:rPr>
                <w:rFonts w:ascii="Consolas" w:hAnsi="Consolas"/>
                <w:sz w:val="18"/>
              </w:rPr>
              <w:t>lib/tavily.mjs</w:t>
            </w:r>
          </w:p>
        </w:tc>
        <w:tc>
          <w:tcPr>
            <w:tcW w:type="dxa" w:w="3216"/>
          </w:tcPr>
          <w:p>
            <w:pPr>
              <w:spacing w:after="40"/>
            </w:pPr>
            <w:r>
              <w:rPr>
                <w:sz w:val="19"/>
              </w:rPr>
              <w:t>~40</w:t>
            </w:r>
          </w:p>
        </w:tc>
        <w:tc>
          <w:tcPr>
            <w:tcW w:type="dxa" w:w="3216"/>
          </w:tcPr>
          <w:p>
            <w:pPr>
              <w:spacing w:after="40"/>
            </w:pPr>
            <w:r>
              <w:rPr>
                <w:sz w:val="19"/>
              </w:rPr>
              <w:t>optional web search with soft failure</w:t>
            </w:r>
          </w:p>
        </w:tc>
      </w:tr>
      <w:tr>
        <w:trPr>
          <w:cantSplit/>
        </w:trPr>
        <w:tc>
          <w:tcPr>
            <w:tcW w:type="dxa" w:w="3216"/>
          </w:tcPr>
          <w:p>
            <w:pPr>
              <w:spacing w:after="40"/>
            </w:pPr>
            <w:r>
              <w:rPr>
                <w:rFonts w:ascii="Consolas" w:hAnsi="Consolas"/>
                <w:sz w:val="18"/>
              </w:rPr>
              <w:t>public/index.html</w:t>
            </w:r>
          </w:p>
        </w:tc>
        <w:tc>
          <w:tcPr>
            <w:tcW w:type="dxa" w:w="3216"/>
          </w:tcPr>
          <w:p>
            <w:pPr>
              <w:spacing w:after="40"/>
            </w:pPr>
            <w:r>
              <w:rPr>
                <w:sz w:val="19"/>
              </w:rPr>
              <w:t>~190</w:t>
            </w:r>
          </w:p>
        </w:tc>
        <w:tc>
          <w:tcPr>
            <w:tcW w:type="dxa" w:w="3216"/>
          </w:tcPr>
          <w:p>
            <w:pPr>
              <w:spacing w:after="40"/>
            </w:pPr>
            <w:r>
              <w:rPr>
                <w:sz w:val="19"/>
              </w:rPr>
              <w:t>console, rail, routing panel, summary modal, voice controls</w:t>
            </w:r>
          </w:p>
        </w:tc>
      </w:tr>
      <w:tr>
        <w:trPr>
          <w:cantSplit/>
        </w:trPr>
        <w:tc>
          <w:tcPr>
            <w:tcW w:type="dxa" w:w="3216"/>
          </w:tcPr>
          <w:p>
            <w:pPr>
              <w:spacing w:after="40"/>
            </w:pPr>
            <w:r>
              <w:rPr>
                <w:rFonts w:ascii="Consolas" w:hAnsi="Consolas"/>
                <w:sz w:val="18"/>
              </w:rPr>
              <w:t>public/styles.css</w:t>
            </w:r>
          </w:p>
        </w:tc>
        <w:tc>
          <w:tcPr>
            <w:tcW w:type="dxa" w:w="3216"/>
          </w:tcPr>
          <w:p>
            <w:pPr>
              <w:spacing w:after="40"/>
            </w:pPr>
            <w:r>
              <w:rPr>
                <w:sz w:val="19"/>
              </w:rPr>
              <w:t>~600</w:t>
            </w:r>
          </w:p>
        </w:tc>
        <w:tc>
          <w:tcPr>
            <w:tcW w:type="dxa" w:w="3216"/>
          </w:tcPr>
          <w:p>
            <w:pPr>
              <w:spacing w:after="40"/>
            </w:pPr>
            <w:r>
              <w:rPr>
                <w:sz w:val="19"/>
              </w:rPr>
              <w:t>design system and layout</w:t>
            </w:r>
          </w:p>
        </w:tc>
      </w:tr>
      <w:tr>
        <w:trPr>
          <w:cantSplit/>
        </w:trPr>
        <w:tc>
          <w:tcPr>
            <w:tcW w:type="dxa" w:w="3216"/>
          </w:tcPr>
          <w:p>
            <w:pPr>
              <w:spacing w:after="40"/>
            </w:pPr>
            <w:r>
              <w:rPr>
                <w:rFonts w:ascii="Consolas" w:hAnsi="Consolas"/>
                <w:sz w:val="18"/>
              </w:rPr>
              <w:t>public/app.js</w:t>
            </w:r>
          </w:p>
        </w:tc>
        <w:tc>
          <w:tcPr>
            <w:tcW w:type="dxa" w:w="3216"/>
          </w:tcPr>
          <w:p>
            <w:pPr>
              <w:spacing w:after="40"/>
            </w:pPr>
            <w:r>
              <w:rPr>
                <w:sz w:val="19"/>
              </w:rPr>
              <w:t>~430</w:t>
            </w:r>
          </w:p>
        </w:tc>
        <w:tc>
          <w:tcPr>
            <w:tcW w:type="dxa" w:w="3216"/>
          </w:tcPr>
          <w:p>
            <w:pPr>
              <w:spacing w:after="40"/>
            </w:pPr>
            <w:r>
              <w:rPr>
                <w:sz w:val="19"/>
              </w:rPr>
              <w:t>state, stream reader, rendering, voice, summary modal</w:t>
            </w:r>
          </w:p>
        </w:tc>
      </w:tr>
      <w:tr>
        <w:trPr>
          <w:cantSplit/>
        </w:trPr>
        <w:tc>
          <w:tcPr>
            <w:tcW w:type="dxa" w:w="3216"/>
          </w:tcPr>
          <w:p>
            <w:pPr>
              <w:spacing w:after="40"/>
            </w:pPr>
            <w:r>
              <w:rPr>
                <w:rFonts w:ascii="Consolas" w:hAnsi="Consolas"/>
                <w:sz w:val="18"/>
              </w:rPr>
              <w:t>scripts/check-models.mjs</w:t>
            </w:r>
          </w:p>
        </w:tc>
        <w:tc>
          <w:tcPr>
            <w:tcW w:type="dxa" w:w="3216"/>
          </w:tcPr>
          <w:p>
            <w:pPr>
              <w:spacing w:after="40"/>
            </w:pPr>
            <w:r>
              <w:rPr>
                <w:sz w:val="19"/>
              </w:rPr>
              <w:t>~30</w:t>
            </w:r>
          </w:p>
        </w:tc>
        <w:tc>
          <w:tcPr>
            <w:tcW w:type="dxa" w:w="3216"/>
          </w:tcPr>
          <w:p>
            <w:pPr>
              <w:spacing w:after="40"/>
            </w:pPr>
            <w:r>
              <w:rPr>
                <w:sz w:val="19"/>
              </w:rPr>
              <w:t>prints the model ids available to the API key</w:t>
            </w:r>
          </w:p>
        </w:tc>
      </w:tr>
      <w:tr>
        <w:trPr>
          <w:cantSplit/>
        </w:trPr>
        <w:tc>
          <w:tcPr>
            <w:tcW w:type="dxa" w:w="3216"/>
          </w:tcPr>
          <w:p>
            <w:pPr>
              <w:spacing w:after="40"/>
            </w:pPr>
            <w:r>
              <w:rPr>
                <w:rFonts w:ascii="Consolas" w:hAnsi="Consolas"/>
                <w:sz w:val="18"/>
              </w:rPr>
              <w:t>scripts/build_report.py</w:t>
            </w:r>
          </w:p>
        </w:tc>
        <w:tc>
          <w:tcPr>
            <w:tcW w:type="dxa" w:w="3216"/>
          </w:tcPr>
          <w:p>
            <w:pPr>
              <w:spacing w:after="40"/>
            </w:pPr>
            <w:r>
              <w:rPr>
                <w:sz w:val="19"/>
              </w:rPr>
              <w:t>~330</w:t>
            </w:r>
          </w:p>
        </w:tc>
        <w:tc>
          <w:tcPr>
            <w:tcW w:type="dxa" w:w="3216"/>
          </w:tcPr>
          <w:p>
            <w:pPr>
              <w:spacing w:after="40"/>
            </w:pPr>
            <w:r>
              <w:rPr>
                <w:sz w:val="19"/>
              </w:rPr>
              <w:t>regenerates this document, cover and figures included</w:t>
            </w:r>
          </w:p>
        </w:tc>
      </w:tr>
      <w:tr>
        <w:trPr>
          <w:cantSplit/>
        </w:trPr>
        <w:tc>
          <w:tcPr>
            <w:tcW w:type="dxa" w:w="3216"/>
          </w:tcPr>
          <w:p>
            <w:pPr>
              <w:spacing w:after="40"/>
            </w:pPr>
            <w:r>
              <w:rPr>
                <w:rFonts w:ascii="Consolas" w:hAnsi="Consolas"/>
                <w:sz w:val="18"/>
              </w:rPr>
              <w:t>docs/images/</w:t>
            </w:r>
          </w:p>
        </w:tc>
        <w:tc>
          <w:tcPr>
            <w:tcW w:type="dxa" w:w="3216"/>
          </w:tcPr>
          <w:p>
            <w:pPr>
              <w:spacing w:after="40"/>
            </w:pPr>
            <w:r>
              <w:rPr>
                <w:sz w:val="19"/>
              </w:rPr>
              <w:t>—</w:t>
            </w:r>
          </w:p>
        </w:tc>
        <w:tc>
          <w:tcPr>
            <w:tcW w:type="dxa" w:w="3216"/>
          </w:tcPr>
          <w:p>
            <w:pPr>
              <w:spacing w:after="40"/>
            </w:pPr>
            <w:r>
              <w:rPr>
                <w:sz w:val="19"/>
              </w:rPr>
              <w:t>the cover image, four generated diagrams and two screenshots</w:t>
            </w:r>
          </w:p>
        </w:tc>
      </w:tr>
    </w:tbl>
    <w:p>
      <w:pPr>
        <w:spacing w:after="40"/>
      </w:pPr>
    </w:p>
    <w:p>
      <w:r>
        <w:t>\* approximate, for orientation only.</w:t>
      </w:r>
    </w:p>
    <w:p>
      <w:r>
        <w:t>The distribution is deliberate: the prompts and the client are small and read in one sitting, while the interface carries most of the code because it carries most of the product.</w:t>
      </w:r>
    </w:p>
    <w:p>
      <w:pPr>
        <w:spacing w:before="40" w:after="160"/>
        <w:pBdr>
          <w:bottom w:val="single" w:sz="6" w:space="1" w:color="D3DCE8"/>
        </w:pBdr>
      </w:pPr>
    </w:p>
    <w:p>
      <w:pPr>
        <w:keepNext/>
        <w:spacing w:before="280" w:after="80"/>
        <w:pBdr>
          <w:bottom w:val="single" w:sz="6" w:space="3" w:color="2E5C8A"/>
        </w:pBdr>
      </w:pPr>
      <w:r>
        <w:rPr>
          <w:b/>
          <w:color w:val="1F3864"/>
          <w:sz w:val="28"/>
        </w:rPr>
        <w:t>12. Running it</w:t>
      </w:r>
    </w:p>
    <w:p>
      <w:pPr>
        <w:spacing w:after="0" w:line="240" w:lineRule="auto"/>
        <w:ind w:left="288"/>
        <w:shd w:val="clear" w:fill="F3F4F6"/>
      </w:pPr>
      <w:r>
        <w:rPr>
          <w:rFonts w:ascii="Consolas" w:hAnsi="Consolas"/>
          <w:color w:val="252A33"/>
          <w:sz w:val="18"/>
        </w:rPr>
        <w:t>cp .env.example .env      # Windows: copy .env.example .env</w:t>
      </w:r>
    </w:p>
    <w:p>
      <w:pPr>
        <w:spacing w:after="0" w:line="240" w:lineRule="auto"/>
        <w:ind w:left="288"/>
        <w:shd w:val="clear" w:fill="F3F4F6"/>
      </w:pPr>
      <w:r>
        <w:rPr>
          <w:rFonts w:ascii="Consolas" w:hAnsi="Consolas"/>
          <w:color w:val="252A33"/>
          <w:sz w:val="18"/>
        </w:rPr>
        <w:t>npm start                 # http://localhost:3000</w:t>
      </w:r>
    </w:p>
    <w:p>
      <w:pPr>
        <w:spacing w:after="0" w:line="240" w:lineRule="auto"/>
        <w:ind w:left="288"/>
        <w:shd w:val="clear" w:fill="F3F4F6"/>
      </w:pPr>
      <w:r>
        <w:rPr>
          <w:rFonts w:ascii="Consolas" w:hAnsi="Consolas"/>
          <w:color w:val="252A33"/>
          <w:sz w:val="18"/>
        </w:rPr>
        <w:t>npm run models            # list the model ids available to your key</w:t>
      </w:r>
    </w:p>
    <w:p>
      <w:pPr>
        <w:spacing w:after="0" w:line="240" w:lineRule="auto"/>
        <w:ind w:left="288"/>
        <w:shd w:val="clear" w:fill="F3F4F6"/>
      </w:pPr>
      <w:r>
        <w:rPr>
          <w:rFonts w:ascii="Consolas" w:hAnsi="Consolas"/>
          <w:color w:val="252A33"/>
          <w:sz w:val="18"/>
        </w:rPr>
        <w:t>npm run report            # regenerate REPORT.docx from REPORT.md</w:t>
      </w:r>
    </w:p>
    <w:p>
      <w:pPr>
        <w:spacing w:after="40"/>
      </w:pPr>
    </w:p>
    <w:p>
      <w:r>
        <w:t xml:space="preserve">With no </w:t>
      </w:r>
      <w:r>
        <w:rPr>
          <w:rFonts w:ascii="Consolas" w:hAnsi="Consolas"/>
        </w:rPr>
        <w:t>NEBIUS_API_KEY</w:t>
      </w:r>
      <w:r>
        <w:t xml:space="preserve"> the app runs in mock mode and says so in the badge. With a key and three model ids it runs live. Deployment is a plain Node process: on Render, build with </w:t>
      </w:r>
      <w:r>
        <w:rPr>
          <w:rFonts w:ascii="Consolas" w:hAnsi="Consolas"/>
        </w:rPr>
        <w:t>npm install</w:t>
      </w:r>
      <w:r>
        <w:t xml:space="preserve"> and start with </w:t>
      </w:r>
      <w:r>
        <w:rPr>
          <w:rFonts w:ascii="Consolas" w:hAnsi="Consolas"/>
        </w:rPr>
        <w:t>npm start</w:t>
      </w:r>
      <w:r>
        <w:t xml:space="preserve">, then set the environment variables from Appendix A. In Docker: </w:t>
      </w:r>
      <w:r>
        <w:rPr>
          <w:rFonts w:ascii="Consolas" w:hAnsi="Consolas"/>
        </w:rPr>
        <w:t>docker build -t calllens . &amp;&amp; docker run -p 3000:3000 --env-file .env calllens</w:t>
      </w:r>
      <w:r>
        <w:t>.</w:t>
      </w:r>
    </w:p>
    <w:p>
      <w:r>
        <w:t xml:space="preserve">Regenerating this document needs Python with </w:t>
      </w:r>
      <w:r>
        <w:rPr>
          <w:rFonts w:ascii="Consolas" w:hAnsi="Consolas"/>
        </w:rPr>
        <w:t>python-docx</w:t>
      </w:r>
      <w:r>
        <w:t xml:space="preserve"> installed (</w:t>
      </w:r>
      <w:r>
        <w:rPr>
          <w:rFonts w:ascii="Consolas" w:hAnsi="Consolas"/>
        </w:rPr>
        <w:t>pip install -r requirements-dev.txt</w:t>
      </w:r>
      <w:r>
        <w:t xml:space="preserve">), and regenerating the diagrams needs only a browser: each figure is an HTML file in </w:t>
      </w:r>
      <w:r>
        <w:rPr>
          <w:rFonts w:ascii="Consolas" w:hAnsi="Consolas"/>
        </w:rPr>
        <w:t>docs/images/src/</w:t>
      </w:r>
      <w:r>
        <w:t xml:space="preserve"> rendered to PNG.</w:t>
      </w:r>
    </w:p>
    <w:p>
      <w:pPr>
        <w:spacing w:before="40" w:after="160"/>
        <w:pBdr>
          <w:bottom w:val="single" w:sz="6" w:space="1" w:color="D3DCE8"/>
        </w:pBdr>
      </w:pPr>
    </w:p>
    <w:p>
      <w:pPr>
        <w:keepNext/>
        <w:spacing w:before="280" w:after="80"/>
        <w:pBdr>
          <w:bottom w:val="single" w:sz="6" w:space="3" w:color="2E5C8A"/>
        </w:pBdr>
      </w:pPr>
      <w:r>
        <w:rPr>
          <w:b/>
          <w:color w:val="1F3864"/>
          <w:sz w:val="28"/>
        </w:rPr>
        <w:t>13. Testing — what was actually verified</w:t>
      </w:r>
    </w:p>
    <w:p>
      <w:r>
        <w:rPr>
          <w:b/>
        </w:rPr>
        <w:t>Verified</w:t>
      </w:r>
    </w:p>
    <w:tbl>
      <w:tblPr>
        <w:tblStyle w:val="TableGrid"/>
        <w:tblW w:type="auto" w:w="0"/>
        <w:jc w:val="center"/>
        <w:tblLook w:firstColumn="1" w:firstRow="1" w:lastColumn="0" w:lastRow="0" w:noHBand="0" w:noVBand="1" w:val="04A0"/>
      </w:tblPr>
      <w:tblGrid>
        <w:gridCol w:w="3216"/>
        <w:gridCol w:w="3216"/>
        <w:gridCol w:w="3216"/>
      </w:tblGrid>
      <w:tr>
        <w:trPr>
          <w:cantSplit/>
          <w:tblHeader w:val="true"/>
        </w:trPr>
        <w:tc>
          <w:tcPr>
            <w:tcW w:type="dxa" w:w="3216"/>
            <w:shd w:val="clear" w:color="auto" w:fill="E8EDF4"/>
          </w:tcPr>
          <w:p>
            <w:pPr>
              <w:spacing w:after="40"/>
            </w:pPr>
            <w:r>
              <w:rPr>
                <w:b/>
                <w:sz w:val="19"/>
              </w:rPr>
              <w:t>Check</w:t>
            </w:r>
          </w:p>
        </w:tc>
        <w:tc>
          <w:tcPr>
            <w:tcW w:type="dxa" w:w="3216"/>
            <w:shd w:val="clear" w:color="auto" w:fill="E8EDF4"/>
          </w:tcPr>
          <w:p>
            <w:pPr>
              <w:spacing w:after="40"/>
            </w:pPr>
            <w:r>
              <w:rPr>
                <w:b/>
                <w:sz w:val="19"/>
              </w:rPr>
              <w:t>Method</w:t>
            </w:r>
          </w:p>
        </w:tc>
        <w:tc>
          <w:tcPr>
            <w:tcW w:type="dxa" w:w="3216"/>
            <w:shd w:val="clear" w:color="auto" w:fill="E8EDF4"/>
          </w:tcPr>
          <w:p>
            <w:pPr>
              <w:spacing w:after="40"/>
            </w:pPr>
            <w:r>
              <w:rPr>
                <w:b/>
                <w:sz w:val="19"/>
              </w:rPr>
              <w:t>Result</w:t>
            </w:r>
          </w:p>
        </w:tc>
      </w:tr>
      <w:tr>
        <w:trPr>
          <w:cantSplit/>
        </w:trPr>
        <w:tc>
          <w:tcPr>
            <w:tcW w:type="dxa" w:w="3216"/>
          </w:tcPr>
          <w:p>
            <w:pPr>
              <w:spacing w:after="40"/>
            </w:pPr>
            <w:r>
              <w:rPr>
                <w:rFonts w:ascii="Consolas" w:hAnsi="Consolas"/>
                <w:sz w:val="18"/>
              </w:rPr>
              <w:t>GET /health</w:t>
            </w:r>
          </w:p>
        </w:tc>
        <w:tc>
          <w:tcPr>
            <w:tcW w:type="dxa" w:w="3216"/>
          </w:tcPr>
          <w:p>
            <w:pPr>
              <w:spacing w:after="40"/>
            </w:pPr>
            <w:r>
              <w:rPr>
                <w:sz w:val="19"/>
              </w:rPr>
              <w:t>curl</w:t>
            </w:r>
          </w:p>
        </w:tc>
        <w:tc>
          <w:tcPr>
            <w:tcW w:type="dxa" w:w="3216"/>
          </w:tcPr>
          <w:p>
            <w:pPr>
              <w:spacing w:after="40"/>
            </w:pPr>
            <w:r>
              <w:rPr>
                <w:sz w:val="19"/>
              </w:rPr>
              <w:t>returns mode, model ids, Tavily flag</w:t>
            </w:r>
          </w:p>
        </w:tc>
      </w:tr>
      <w:tr>
        <w:trPr>
          <w:cantSplit/>
        </w:trPr>
        <w:tc>
          <w:tcPr>
            <w:tcW w:type="dxa" w:w="3216"/>
          </w:tcPr>
          <w:p>
            <w:pPr>
              <w:spacing w:after="40"/>
            </w:pPr>
            <w:r>
              <w:rPr>
                <w:rFonts w:ascii="Consolas" w:hAnsi="Consolas"/>
                <w:sz w:val="18"/>
              </w:rPr>
              <w:t>POST /api/turn</w:t>
            </w:r>
          </w:p>
        </w:tc>
        <w:tc>
          <w:tcPr>
            <w:tcW w:type="dxa" w:w="3216"/>
          </w:tcPr>
          <w:p>
            <w:pPr>
              <w:spacing w:after="40"/>
            </w:pPr>
            <w:r>
              <w:rPr>
                <w:sz w:val="19"/>
              </w:rPr>
              <w:t>curl</w:t>
            </w:r>
          </w:p>
        </w:tc>
        <w:tc>
          <w:tcPr>
            <w:tcW w:type="dxa" w:w="3216"/>
          </w:tcPr>
          <w:p>
            <w:pPr>
              <w:spacing w:after="40"/>
            </w:pPr>
            <w:r>
              <w:rPr>
                <w:sz w:val="19"/>
              </w:rPr>
              <w:t>analysis, speaking, deltas and done, in the correct order</w:t>
            </w:r>
          </w:p>
        </w:tc>
      </w:tr>
      <w:tr>
        <w:trPr>
          <w:cantSplit/>
        </w:trPr>
        <w:tc>
          <w:tcPr>
            <w:tcW w:type="dxa" w:w="3216"/>
          </w:tcPr>
          <w:p>
            <w:pPr>
              <w:spacing w:after="40"/>
            </w:pPr>
            <w:r>
              <w:rPr>
                <w:rFonts w:ascii="Consolas" w:hAnsi="Consolas"/>
                <w:sz w:val="18"/>
              </w:rPr>
              <w:t>POST /api/summary</w:t>
            </w:r>
          </w:p>
        </w:tc>
        <w:tc>
          <w:tcPr>
            <w:tcW w:type="dxa" w:w="3216"/>
          </w:tcPr>
          <w:p>
            <w:pPr>
              <w:spacing w:after="40"/>
            </w:pPr>
            <w:r>
              <w:rPr>
                <w:sz w:val="19"/>
              </w:rPr>
              <w:t>curl</w:t>
            </w:r>
          </w:p>
        </w:tc>
        <w:tc>
          <w:tcPr>
            <w:tcW w:type="dxa" w:w="3216"/>
          </w:tcPr>
          <w:p>
            <w:pPr>
              <w:spacing w:after="40"/>
            </w:pPr>
            <w:r>
              <w:rPr>
                <w:sz w:val="19"/>
              </w:rPr>
              <w:t>structured record with a CRM note</w:t>
            </w:r>
          </w:p>
        </w:tc>
      </w:tr>
      <w:tr>
        <w:trPr>
          <w:cantSplit/>
        </w:trPr>
        <w:tc>
          <w:tcPr>
            <w:tcW w:type="dxa" w:w="3216"/>
          </w:tcPr>
          <w:p>
            <w:pPr>
              <w:spacing w:after="40"/>
            </w:pPr>
            <w:r>
              <w:rPr>
                <w:sz w:val="19"/>
              </w:rPr>
              <w:t>Order-status intent</w:t>
            </w:r>
          </w:p>
        </w:tc>
        <w:tc>
          <w:tcPr>
            <w:tcW w:type="dxa" w:w="3216"/>
          </w:tcPr>
          <w:p>
            <w:pPr>
              <w:spacing w:after="40"/>
            </w:pPr>
            <w:r>
              <w:rPr>
                <w:sz w:val="19"/>
              </w:rPr>
              <w:t>curl</w:t>
            </w:r>
          </w:p>
        </w:tc>
        <w:tc>
          <w:tcPr>
            <w:tcW w:type="dxa" w:w="3216"/>
          </w:tcPr>
          <w:p>
            <w:pPr>
              <w:spacing w:after="40"/>
            </w:pPr>
            <w:r>
              <w:rPr>
                <w:rFonts w:ascii="Consolas" w:hAnsi="Consolas"/>
                <w:sz w:val="18"/>
              </w:rPr>
              <w:t>ORD-1004</w:t>
            </w:r>
            <w:r>
              <w:rPr>
                <w:sz w:val="19"/>
              </w:rPr>
              <w:t xml:space="preserve"> extracted, grounded reply returned</w:t>
            </w:r>
          </w:p>
        </w:tc>
      </w:tr>
      <w:tr>
        <w:trPr>
          <w:cantSplit/>
        </w:trPr>
        <w:tc>
          <w:tcPr>
            <w:tcW w:type="dxa" w:w="3216"/>
          </w:tcPr>
          <w:p>
            <w:pPr>
              <w:spacing w:after="40"/>
            </w:pPr>
            <w:r>
              <w:rPr>
                <w:sz w:val="19"/>
              </w:rPr>
              <w:t>Business-hours intent</w:t>
            </w:r>
          </w:p>
        </w:tc>
        <w:tc>
          <w:tcPr>
            <w:tcW w:type="dxa" w:w="3216"/>
          </w:tcPr>
          <w:p>
            <w:pPr>
              <w:spacing w:after="40"/>
            </w:pPr>
            <w:r>
              <w:rPr>
                <w:sz w:val="19"/>
              </w:rPr>
              <w:t>curl</w:t>
            </w:r>
          </w:p>
        </w:tc>
        <w:tc>
          <w:tcPr>
            <w:tcW w:type="dxa" w:w="3216"/>
          </w:tcPr>
          <w:p>
            <w:pPr>
              <w:spacing w:after="40"/>
            </w:pPr>
            <w:r>
              <w:rPr>
                <w:sz w:val="19"/>
              </w:rPr>
              <w:t>grouped hours spoken as one sentence</w:t>
            </w:r>
          </w:p>
        </w:tc>
      </w:tr>
      <w:tr>
        <w:trPr>
          <w:cantSplit/>
        </w:trPr>
        <w:tc>
          <w:tcPr>
            <w:tcW w:type="dxa" w:w="3216"/>
          </w:tcPr>
          <w:p>
            <w:pPr>
              <w:spacing w:after="40"/>
            </w:pPr>
            <w:r>
              <w:rPr>
                <w:sz w:val="19"/>
              </w:rPr>
              <w:t>FAQ intent</w:t>
            </w:r>
          </w:p>
        </w:tc>
        <w:tc>
          <w:tcPr>
            <w:tcW w:type="dxa" w:w="3216"/>
          </w:tcPr>
          <w:p>
            <w:pPr>
              <w:spacing w:after="40"/>
            </w:pPr>
            <w:r>
              <w:rPr>
                <w:sz w:val="19"/>
              </w:rPr>
              <w:t>curl</w:t>
            </w:r>
          </w:p>
        </w:tc>
        <w:tc>
          <w:tcPr>
            <w:tcW w:type="dxa" w:w="3216"/>
          </w:tcPr>
          <w:p>
            <w:pPr>
              <w:spacing w:after="40"/>
            </w:pPr>
            <w:r>
              <w:rPr>
                <w:sz w:val="19"/>
              </w:rPr>
              <w:t>answer restricted to the matching approved entry</w:t>
            </w:r>
          </w:p>
        </w:tc>
      </w:tr>
      <w:tr>
        <w:trPr>
          <w:cantSplit/>
        </w:trPr>
        <w:tc>
          <w:tcPr>
            <w:tcW w:type="dxa" w:w="3216"/>
          </w:tcPr>
          <w:p>
            <w:pPr>
              <w:spacing w:after="40"/>
            </w:pPr>
            <w:r>
              <w:rPr>
                <w:sz w:val="19"/>
              </w:rPr>
              <w:t>Full UI flow</w:t>
            </w:r>
          </w:p>
        </w:tc>
        <w:tc>
          <w:tcPr>
            <w:tcW w:type="dxa" w:w="3216"/>
          </w:tcPr>
          <w:p>
            <w:pPr>
              <w:spacing w:after="40"/>
            </w:pPr>
            <w:r>
              <w:rPr>
                <w:sz w:val="19"/>
              </w:rPr>
              <w:t>headless Chrome over the DevTools protocol</w:t>
            </w:r>
          </w:p>
        </w:tc>
        <w:tc>
          <w:tcPr>
            <w:tcW w:type="dxa" w:w="3216"/>
          </w:tcPr>
          <w:p>
            <w:pPr>
              <w:spacing w:after="40"/>
            </w:pPr>
            <w:r>
              <w:rPr>
                <w:sz w:val="19"/>
              </w:rPr>
              <w:t>four turns, rail updates, End call, populated record</w:t>
            </w:r>
          </w:p>
        </w:tc>
      </w:tr>
      <w:tr>
        <w:trPr>
          <w:cantSplit/>
        </w:trPr>
        <w:tc>
          <w:tcPr>
            <w:tcW w:type="dxa" w:w="3216"/>
          </w:tcPr>
          <w:p>
            <w:pPr>
              <w:spacing w:after="40"/>
            </w:pPr>
            <w:r>
              <w:rPr>
                <w:sz w:val="19"/>
              </w:rPr>
              <w:t>Escalation path</w:t>
            </w:r>
          </w:p>
        </w:tc>
        <w:tc>
          <w:tcPr>
            <w:tcW w:type="dxa" w:w="3216"/>
          </w:tcPr>
          <w:p>
            <w:pPr>
              <w:spacing w:after="40"/>
            </w:pPr>
            <w:r>
              <w:rPr>
                <w:sz w:val="19"/>
              </w:rPr>
              <w:t>headless Chrome</w:t>
            </w:r>
          </w:p>
        </w:tc>
        <w:tc>
          <w:tcPr>
            <w:tcW w:type="dxa" w:w="3216"/>
          </w:tcPr>
          <w:p>
            <w:pPr>
              <w:spacing w:after="40"/>
            </w:pPr>
            <w:r>
              <w:rPr>
                <w:sz w:val="19"/>
              </w:rPr>
              <w:t>handoff intent, escalation badge, urgency 5</w:t>
            </w:r>
          </w:p>
        </w:tc>
      </w:tr>
      <w:tr>
        <w:trPr>
          <w:cantSplit/>
        </w:trPr>
        <w:tc>
          <w:tcPr>
            <w:tcW w:type="dxa" w:w="3216"/>
          </w:tcPr>
          <w:p>
            <w:pPr>
              <w:spacing w:after="40"/>
            </w:pPr>
            <w:r>
              <w:rPr>
                <w:sz w:val="19"/>
              </w:rPr>
              <w:t>Order-id carry-over</w:t>
            </w:r>
          </w:p>
        </w:tc>
        <w:tc>
          <w:tcPr>
            <w:tcW w:type="dxa" w:w="3216"/>
          </w:tcPr>
          <w:p>
            <w:pPr>
              <w:spacing w:after="40"/>
            </w:pPr>
            <w:r>
              <w:rPr>
                <w:sz w:val="19"/>
              </w:rPr>
              <w:t>headless Chrome</w:t>
            </w:r>
          </w:p>
        </w:tc>
        <w:tc>
          <w:tcPr>
            <w:tcW w:type="dxa" w:w="3216"/>
          </w:tcPr>
          <w:p>
            <w:pPr>
              <w:spacing w:after="40"/>
            </w:pPr>
            <w:r>
              <w:rPr>
                <w:sz w:val="19"/>
              </w:rPr>
              <w:t xml:space="preserve">a follow-up turn inherits </w:t>
            </w:r>
            <w:r>
              <w:rPr>
                <w:rFonts w:ascii="Consolas" w:hAnsi="Consolas"/>
                <w:sz w:val="18"/>
              </w:rPr>
              <w:t>ORD-1002</w:t>
            </w:r>
            <w:r>
              <w:rPr>
                <w:sz w:val="19"/>
              </w:rPr>
              <w:t xml:space="preserve"> without repeating it</w:t>
            </w:r>
          </w:p>
        </w:tc>
      </w:tr>
      <w:tr>
        <w:trPr>
          <w:cantSplit/>
        </w:trPr>
        <w:tc>
          <w:tcPr>
            <w:tcW w:type="dxa" w:w="3216"/>
          </w:tcPr>
          <w:p>
            <w:pPr>
              <w:spacing w:after="40"/>
            </w:pPr>
            <w:r>
              <w:rPr>
                <w:sz w:val="19"/>
              </w:rPr>
              <w:t>Static assets and 404</w:t>
            </w:r>
          </w:p>
        </w:tc>
        <w:tc>
          <w:tcPr>
            <w:tcW w:type="dxa" w:w="3216"/>
          </w:tcPr>
          <w:p>
            <w:pPr>
              <w:spacing w:after="40"/>
            </w:pPr>
            <w:r>
              <w:rPr>
                <w:sz w:val="19"/>
              </w:rPr>
              <w:t>curl</w:t>
            </w:r>
          </w:p>
        </w:tc>
        <w:tc>
          <w:tcPr>
            <w:tcW w:type="dxa" w:w="3216"/>
          </w:tcPr>
          <w:p>
            <w:pPr>
              <w:spacing w:after="40"/>
            </w:pPr>
            <w:r>
              <w:rPr>
                <w:sz w:val="19"/>
              </w:rPr>
              <w:t>200 for CSS and JS, 404 for an unknown path</w:t>
            </w:r>
          </w:p>
        </w:tc>
      </w:tr>
      <w:tr>
        <w:trPr>
          <w:cantSplit/>
        </w:trPr>
        <w:tc>
          <w:tcPr>
            <w:tcW w:type="dxa" w:w="3216"/>
          </w:tcPr>
          <w:p>
            <w:pPr>
              <w:spacing w:after="40"/>
            </w:pPr>
            <w:r>
              <w:rPr>
                <w:sz w:val="19"/>
              </w:rPr>
              <w:t>Console errors</w:t>
            </w:r>
          </w:p>
        </w:tc>
        <w:tc>
          <w:tcPr>
            <w:tcW w:type="dxa" w:w="3216"/>
          </w:tcPr>
          <w:p>
            <w:pPr>
              <w:spacing w:after="40"/>
            </w:pPr>
            <w:r>
              <w:rPr>
                <w:sz w:val="19"/>
              </w:rPr>
              <w:t>browser console</w:t>
            </w:r>
          </w:p>
        </w:tc>
        <w:tc>
          <w:tcPr>
            <w:tcW w:type="dxa" w:w="3216"/>
          </w:tcPr>
          <w:p>
            <w:pPr>
              <w:spacing w:after="40"/>
            </w:pPr>
            <w:r>
              <w:rPr>
                <w:sz w:val="19"/>
              </w:rPr>
              <w:t>none across the flows above</w:t>
            </w:r>
          </w:p>
        </w:tc>
      </w:tr>
      <w:tr>
        <w:trPr>
          <w:cantSplit/>
        </w:trPr>
        <w:tc>
          <w:tcPr>
            <w:tcW w:type="dxa" w:w="3216"/>
          </w:tcPr>
          <w:p>
            <w:pPr>
              <w:spacing w:after="40"/>
            </w:pPr>
            <w:r>
              <w:rPr>
                <w:sz w:val="19"/>
              </w:rPr>
              <w:t>Voice wiring</w:t>
            </w:r>
          </w:p>
        </w:tc>
        <w:tc>
          <w:tcPr>
            <w:tcW w:type="dxa" w:w="3216"/>
          </w:tcPr>
          <w:p>
            <w:pPr>
              <w:spacing w:after="40"/>
            </w:pPr>
            <w:r>
              <w:rPr>
                <w:sz w:val="19"/>
              </w:rPr>
              <w:t>browser</w:t>
            </w:r>
          </w:p>
        </w:tc>
        <w:tc>
          <w:tcPr>
            <w:tcW w:type="dxa" w:w="3216"/>
          </w:tcPr>
          <w:p>
            <w:pPr>
              <w:spacing w:after="40"/>
            </w:pPr>
            <w:r>
              <w:rPr>
                <w:sz w:val="19"/>
              </w:rPr>
              <w:t>mic present and enabled, mute toggle round-trips, no console errors</w:t>
            </w:r>
          </w:p>
        </w:tc>
      </w:tr>
      <w:tr>
        <w:trPr>
          <w:cantSplit/>
        </w:trPr>
        <w:tc>
          <w:tcPr>
            <w:tcW w:type="dxa" w:w="3216"/>
          </w:tcPr>
          <w:p>
            <w:pPr>
              <w:spacing w:after="40"/>
            </w:pPr>
            <w:r>
              <w:rPr>
                <w:sz w:val="19"/>
              </w:rPr>
              <w:t>Report rendering</w:t>
            </w:r>
          </w:p>
        </w:tc>
        <w:tc>
          <w:tcPr>
            <w:tcW w:type="dxa" w:w="3216"/>
          </w:tcPr>
          <w:p>
            <w:pPr>
              <w:spacing w:after="40"/>
            </w:pPr>
            <w:r>
              <w:rPr>
                <w:sz w:val="19"/>
              </w:rPr>
              <w:t>python-docx output</w:t>
            </w:r>
          </w:p>
        </w:tc>
        <w:tc>
          <w:tcPr>
            <w:tcW w:type="dxa" w:w="3216"/>
          </w:tcPr>
          <w:p>
            <w:pPr>
              <w:spacing w:after="40"/>
            </w:pPr>
            <w:r>
              <w:rPr>
                <w:sz w:val="19"/>
              </w:rPr>
              <w:t>six figures, no empty placeholders, no literal markup left in the document</w:t>
            </w:r>
          </w:p>
        </w:tc>
      </w:tr>
    </w:tbl>
    <w:p>
      <w:pPr>
        <w:spacing w:after="40"/>
      </w:pPr>
    </w:p>
    <w:p>
      <w:r>
        <w:rPr>
          <w:b/>
        </w:rPr>
        <w:t>Defects found during the build, and fixed</w:t>
      </w:r>
    </w:p>
    <w:tbl>
      <w:tblPr>
        <w:tblStyle w:val="TableGrid"/>
        <w:tblW w:type="auto" w:w="0"/>
        <w:jc w:val="center"/>
        <w:tblLook w:firstColumn="1" w:firstRow="1" w:lastColumn="0" w:lastRow="0" w:noHBand="0" w:noVBand="1" w:val="04A0"/>
      </w:tblPr>
      <w:tblGrid>
        <w:gridCol w:w="3216"/>
        <w:gridCol w:w="3216"/>
        <w:gridCol w:w="3216"/>
      </w:tblGrid>
      <w:tr>
        <w:trPr>
          <w:cantSplit/>
          <w:tblHeader w:val="true"/>
        </w:trPr>
        <w:tc>
          <w:tcPr>
            <w:tcW w:type="dxa" w:w="3216"/>
            <w:shd w:val="clear" w:color="auto" w:fill="E8EDF4"/>
          </w:tcPr>
          <w:p>
            <w:pPr>
              <w:spacing w:after="40"/>
            </w:pPr>
            <w:r>
              <w:rPr>
                <w:b/>
                <w:sz w:val="19"/>
              </w:rPr>
              <w:t>Defect</w:t>
            </w:r>
          </w:p>
        </w:tc>
        <w:tc>
          <w:tcPr>
            <w:tcW w:type="dxa" w:w="3216"/>
            <w:shd w:val="clear" w:color="auto" w:fill="E8EDF4"/>
          </w:tcPr>
          <w:p>
            <w:pPr>
              <w:spacing w:after="40"/>
            </w:pPr>
            <w:r>
              <w:rPr>
                <w:b/>
                <w:sz w:val="19"/>
              </w:rPr>
              <w:t>Cause</w:t>
            </w:r>
          </w:p>
        </w:tc>
        <w:tc>
          <w:tcPr>
            <w:tcW w:type="dxa" w:w="3216"/>
            <w:shd w:val="clear" w:color="auto" w:fill="E8EDF4"/>
          </w:tcPr>
          <w:p>
            <w:pPr>
              <w:spacing w:after="40"/>
            </w:pPr>
            <w:r>
              <w:rPr>
                <w:b/>
                <w:sz w:val="19"/>
              </w:rPr>
              <w:t>Fix</w:t>
            </w:r>
          </w:p>
        </w:tc>
      </w:tr>
      <w:tr>
        <w:trPr>
          <w:cantSplit/>
        </w:trPr>
        <w:tc>
          <w:tcPr>
            <w:tcW w:type="dxa" w:w="3216"/>
          </w:tcPr>
          <w:p>
            <w:pPr>
              <w:spacing w:after="40"/>
            </w:pPr>
            <w:r>
              <w:rPr>
                <w:sz w:val="19"/>
              </w:rPr>
              <w:t>The summary modal was visible on load</w:t>
            </w:r>
          </w:p>
        </w:tc>
        <w:tc>
          <w:tcPr>
            <w:tcW w:type="dxa" w:w="3216"/>
          </w:tcPr>
          <w:p>
            <w:pPr>
              <w:spacing w:after="40"/>
            </w:pPr>
            <w:r>
              <w:rPr>
                <w:sz w:val="19"/>
              </w:rPr>
              <w:t xml:space="preserve">a design rule overrode the </w:t>
            </w:r>
            <w:r>
              <w:rPr>
                <w:rFonts w:ascii="Consolas" w:hAnsi="Consolas"/>
                <w:sz w:val="18"/>
              </w:rPr>
              <w:t>hidden</w:t>
            </w:r>
            <w:r>
              <w:rPr>
                <w:sz w:val="19"/>
              </w:rPr>
              <w:t xml:space="preserve"> attribute</w:t>
            </w:r>
          </w:p>
        </w:tc>
        <w:tc>
          <w:tcPr>
            <w:tcW w:type="dxa" w:w="3216"/>
          </w:tcPr>
          <w:p>
            <w:pPr>
              <w:spacing w:after="40"/>
            </w:pPr>
            <w:r>
              <w:rPr>
                <w:sz w:val="19"/>
              </w:rPr>
              <w:t xml:space="preserve">a global </w:t>
            </w:r>
            <w:r>
              <w:rPr>
                <w:rFonts w:ascii="Consolas" w:hAnsi="Consolas"/>
                <w:sz w:val="18"/>
              </w:rPr>
              <w:t>[hidden]</w:t>
            </w:r>
            <w:r>
              <w:rPr>
                <w:sz w:val="19"/>
              </w:rPr>
              <w:t xml:space="preserve"> rule with </w:t>
            </w:r>
            <w:r>
              <w:rPr>
                <w:rFonts w:ascii="Consolas" w:hAnsi="Consolas"/>
                <w:sz w:val="18"/>
              </w:rPr>
              <w:t>!important</w:t>
            </w:r>
          </w:p>
        </w:tc>
      </w:tr>
      <w:tr>
        <w:trPr>
          <w:cantSplit/>
        </w:trPr>
        <w:tc>
          <w:tcPr>
            <w:tcW w:type="dxa" w:w="3216"/>
          </w:tcPr>
          <w:p>
            <w:pPr>
              <w:spacing w:after="40"/>
            </w:pPr>
            <w:r>
              <w:rPr>
                <w:sz w:val="19"/>
              </w:rPr>
              <w:t>A follow-up question was answered as an order query in mock mode</w:t>
            </w:r>
          </w:p>
        </w:tc>
        <w:tc>
          <w:tcPr>
            <w:tcW w:type="dxa" w:w="3216"/>
          </w:tcPr>
          <w:p>
            <w:pPr>
              <w:spacing w:after="40"/>
            </w:pPr>
            <w:r>
              <w:rPr>
                <w:sz w:val="19"/>
              </w:rPr>
              <w:t>the classifier carried the order id forward and let it win</w:t>
            </w:r>
          </w:p>
        </w:tc>
        <w:tc>
          <w:tcPr>
            <w:tcW w:type="dxa" w:w="3216"/>
          </w:tcPr>
          <w:p>
            <w:pPr>
              <w:spacing w:after="40"/>
            </w:pPr>
            <w:r>
              <w:rPr>
                <w:sz w:val="19"/>
              </w:rPr>
              <w:t>explicit question keywords now take precedence; carry-over only applies to follow-ups</w:t>
            </w:r>
          </w:p>
        </w:tc>
      </w:tr>
      <w:tr>
        <w:trPr>
          <w:cantSplit/>
        </w:trPr>
        <w:tc>
          <w:tcPr>
            <w:tcW w:type="dxa" w:w="3216"/>
          </w:tcPr>
          <w:p>
            <w:pPr>
              <w:spacing w:after="40"/>
            </w:pPr>
            <w:r>
              <w:rPr>
                <w:sz w:val="19"/>
              </w:rPr>
              <w:t>Every FAQ produced the returns answer in mock mode</w:t>
            </w:r>
          </w:p>
        </w:tc>
        <w:tc>
          <w:tcPr>
            <w:tcW w:type="dxa" w:w="3216"/>
          </w:tcPr>
          <w:p>
            <w:pPr>
              <w:spacing w:after="40"/>
            </w:pPr>
            <w:r>
              <w:rPr>
                <w:sz w:val="19"/>
              </w:rPr>
              <w:t>one placeholder reply for all FAQ intents</w:t>
            </w:r>
          </w:p>
        </w:tc>
        <w:tc>
          <w:tcPr>
            <w:tcW w:type="dxa" w:w="3216"/>
          </w:tcPr>
          <w:p>
            <w:pPr>
              <w:spacing w:after="40"/>
            </w:pPr>
            <w:r>
              <w:rPr>
                <w:sz w:val="19"/>
              </w:rPr>
              <w:t>the mock now routes to the matching approved FAQ answer</w:t>
            </w:r>
          </w:p>
        </w:tc>
      </w:tr>
      <w:tr>
        <w:trPr>
          <w:cantSplit/>
        </w:trPr>
        <w:tc>
          <w:tcPr>
            <w:tcW w:type="dxa" w:w="3216"/>
          </w:tcPr>
          <w:p>
            <w:pPr>
              <w:spacing w:after="40"/>
            </w:pPr>
            <w:r>
              <w:rPr>
                <w:sz w:val="19"/>
              </w:rPr>
              <w:t>A two-question call produced a contradictory record</w:t>
            </w:r>
          </w:p>
        </w:tc>
        <w:tc>
          <w:tcPr>
            <w:tcW w:type="dxa" w:w="3216"/>
          </w:tcPr>
          <w:p>
            <w:pPr>
              <w:spacing w:after="40"/>
            </w:pPr>
            <w:r>
              <w:rPr>
                <w:sz w:val="19"/>
              </w:rPr>
              <w:t>the headline came from one turn and the issue from another</w:t>
            </w:r>
          </w:p>
        </w:tc>
        <w:tc>
          <w:tcPr>
            <w:tcW w:type="dxa" w:w="3216"/>
          </w:tcPr>
          <w:p>
            <w:pPr>
              <w:spacing w:after="40"/>
            </w:pPr>
            <w:r>
              <w:rPr>
                <w:sz w:val="19"/>
              </w:rPr>
              <w:t>the record is derived from the call's opening question and its topic</w:t>
            </w:r>
          </w:p>
        </w:tc>
      </w:tr>
      <w:tr>
        <w:trPr>
          <w:cantSplit/>
        </w:trPr>
        <w:tc>
          <w:tcPr>
            <w:tcW w:type="dxa" w:w="3216"/>
          </w:tcPr>
          <w:p>
            <w:pPr>
              <w:spacing w:after="40"/>
            </w:pPr>
            <w:r>
              <w:rPr>
                <w:sz w:val="19"/>
              </w:rPr>
              <w:t xml:space="preserve">The report rendered </w:t>
            </w:r>
            <w:r>
              <w:rPr>
                <w:rFonts w:ascii="Consolas" w:hAnsi="Consolas"/>
                <w:sz w:val="18"/>
              </w:rPr>
              <w:t>---</w:t>
            </w:r>
            <w:r>
              <w:rPr>
                <w:sz w:val="19"/>
              </w:rPr>
              <w:t xml:space="preserve"> and stray backticks literally</w:t>
            </w:r>
          </w:p>
        </w:tc>
        <w:tc>
          <w:tcPr>
            <w:tcW w:type="dxa" w:w="3216"/>
          </w:tcPr>
          <w:p>
            <w:pPr>
              <w:spacing w:after="40"/>
            </w:pPr>
            <w:r>
              <w:rPr>
                <w:sz w:val="19"/>
              </w:rPr>
              <w:t>the markdown renderer was too literal</w:t>
            </w:r>
          </w:p>
        </w:tc>
        <w:tc>
          <w:tcPr>
            <w:tcW w:type="dxa" w:w="3216"/>
          </w:tcPr>
          <w:p>
            <w:pPr>
              <w:spacing w:after="40"/>
            </w:pPr>
            <w:r>
              <w:rPr>
                <w:sz w:val="19"/>
              </w:rPr>
              <w:t>horizontal rules and nested code spans are handled explicitly</w:t>
            </w:r>
          </w:p>
        </w:tc>
      </w:tr>
    </w:tbl>
    <w:p>
      <w:pPr>
        <w:spacing w:after="40"/>
      </w:pPr>
    </w:p>
    <w:p>
      <w:r>
        <w:rPr>
          <w:b/>
        </w:rPr>
        <w:t>Not verified — stated plainly</w:t>
      </w:r>
    </w:p>
    <w:p>
      <w:pPr>
        <w:spacing w:after="60"/>
        <w:ind w:left="403"/>
      </w:pPr>
      <w:r>
        <w:rPr>
          <w:color w:val="2E5C8A"/>
        </w:rPr>
        <w:t xml:space="preserve">•  </w:t>
      </w:r>
      <w:r>
        <w:rPr>
          <w:b/>
        </w:rPr>
        <w:t>No live Nemotron call has been made from this repository.</w:t>
      </w:r>
      <w:r>
        <w:t xml:space="preserve"> Every model call above ran through the mock path. The live path is structurally identical and compiles, but the first real request is still unproven.</w:t>
      </w:r>
    </w:p>
    <w:p>
      <w:pPr>
        <w:spacing w:after="60"/>
        <w:ind w:left="403"/>
      </w:pPr>
      <w:r>
        <w:rPr>
          <w:color w:val="2E5C8A"/>
        </w:rPr>
        <w:t xml:space="preserve">•  </w:t>
      </w:r>
      <w:r>
        <w:rPr>
          <w:b/>
        </w:rPr>
        <w:t xml:space="preserve">The model ids in </w:t>
      </w:r>
      <w:r>
        <w:rPr>
          <w:rFonts w:ascii="Consolas" w:hAnsi="Consolas"/>
          <w:b/>
        </w:rPr>
        <w:t>.env.example</w:t>
      </w:r>
      <w:r>
        <w:rPr>
          <w:b/>
        </w:rPr>
        <w:t xml:space="preserve"> are placeholders.</w:t>
      </w:r>
      <w:r>
        <w:t xml:space="preserve"> They must be replaced from </w:t>
      </w:r>
      <w:r>
        <w:rPr>
          <w:rFonts w:ascii="Consolas" w:hAnsi="Consolas"/>
        </w:rPr>
        <w:t>npm run models</w:t>
      </w:r>
      <w:r>
        <w:t>; a wrong id produces a 404 from Token Factory.</w:t>
      </w:r>
    </w:p>
    <w:p>
      <w:pPr>
        <w:spacing w:after="60"/>
        <w:ind w:left="403"/>
      </w:pPr>
      <w:r>
        <w:rPr>
          <w:color w:val="2E5C8A"/>
        </w:rPr>
        <w:t xml:space="preserve">•  </w:t>
      </w:r>
      <w:r>
        <w:rPr>
          <w:b/>
        </w:rPr>
        <w:t>Microphone recognition was not exercised.</w:t>
      </w:r>
      <w:r>
        <w:t xml:space="preserve"> Headless Chrome has no microphone. The code path is reachable and error-handled, but the acoustic path is untested here.</w:t>
      </w:r>
    </w:p>
    <w:p>
      <w:pPr>
        <w:spacing w:after="60"/>
        <w:ind w:left="403"/>
      </w:pPr>
      <w:r>
        <w:rPr>
          <w:color w:val="2E5C8A"/>
        </w:rPr>
        <w:t xml:space="preserve">•  </w:t>
      </w:r>
      <w:r>
        <w:rPr>
          <w:b/>
        </w:rPr>
        <w:t>No deployment was performed.</w:t>
      </w:r>
      <w:r>
        <w:t xml:space="preserve"> The Render instructions are documented but unexecuted.</w:t>
      </w:r>
    </w:p>
    <w:p>
      <w:pPr>
        <w:spacing w:after="60"/>
        <w:ind w:left="403"/>
      </w:pPr>
      <w:r>
        <w:rPr>
          <w:color w:val="2E5C8A"/>
        </w:rPr>
        <w:t xml:space="preserve">•  </w:t>
      </w:r>
      <w:r>
        <w:rPr>
          <w:b/>
        </w:rPr>
        <w:t>Latency figures in the interface are mock timings.</w:t>
      </w:r>
      <w:r>
        <w:t xml:space="preserve"> The routing panel is real</w:t>
      </w:r>
    </w:p>
    <w:p>
      <w:r>
        <w:t>instrumented code, but the numbers it shows in mock mode measure the mock, not Nemotron.</w:t>
      </w:r>
    </w:p>
    <w:p>
      <w:pPr>
        <w:spacing w:before="40" w:after="160"/>
        <w:pBdr>
          <w:bottom w:val="single" w:sz="6" w:space="1" w:color="D3DCE8"/>
        </w:pBdr>
      </w:pPr>
    </w:p>
    <w:p>
      <w:pPr>
        <w:keepNext/>
        <w:spacing w:before="280" w:after="80"/>
        <w:pBdr>
          <w:bottom w:val="single" w:sz="6" w:space="3" w:color="2E5C8A"/>
        </w:pBdr>
      </w:pPr>
      <w:r>
        <w:rPr>
          <w:b/>
          <w:color w:val="1F3864"/>
          <w:sz w:val="28"/>
        </w:rPr>
        <w:t>14. Mapping to the judging criteria</w:t>
      </w:r>
    </w:p>
    <w:tbl>
      <w:tblPr>
        <w:tblStyle w:val="TableGrid"/>
        <w:tblW w:type="auto" w:w="0"/>
        <w:jc w:val="center"/>
        <w:tblLook w:firstColumn="1" w:firstRow="1" w:lastColumn="0" w:lastRow="0" w:noHBand="0" w:noVBand="1" w:val="04A0"/>
      </w:tblPr>
      <w:tblGrid>
        <w:gridCol w:w="4824"/>
        <w:gridCol w:w="4824"/>
      </w:tblGrid>
      <w:tr>
        <w:trPr>
          <w:cantSplit/>
          <w:tblHeader w:val="true"/>
        </w:trPr>
        <w:tc>
          <w:tcPr>
            <w:tcW w:type="dxa" w:w="4824"/>
            <w:shd w:val="clear" w:color="auto" w:fill="E8EDF4"/>
          </w:tcPr>
          <w:p>
            <w:pPr>
              <w:spacing w:after="40"/>
            </w:pPr>
            <w:r>
              <w:rPr>
                <w:b/>
                <w:sz w:val="19"/>
              </w:rPr>
              <w:t>Criterion</w:t>
            </w:r>
          </w:p>
        </w:tc>
        <w:tc>
          <w:tcPr>
            <w:tcW w:type="dxa" w:w="4824"/>
            <w:shd w:val="clear" w:color="auto" w:fill="E8EDF4"/>
          </w:tcPr>
          <w:p>
            <w:pPr>
              <w:spacing w:after="40"/>
            </w:pPr>
            <w:r>
              <w:rPr>
                <w:b/>
                <w:sz w:val="19"/>
              </w:rPr>
              <w:t>How this project answers it</w:t>
            </w:r>
          </w:p>
        </w:tc>
      </w:tr>
      <w:tr>
        <w:trPr>
          <w:cantSplit/>
        </w:trPr>
        <w:tc>
          <w:tcPr>
            <w:tcW w:type="dxa" w:w="4824"/>
          </w:tcPr>
          <w:p>
            <w:pPr>
              <w:spacing w:after="40"/>
            </w:pPr>
            <w:r>
              <w:rPr>
                <w:sz w:val="19"/>
              </w:rPr>
              <w:t>Technological implementation</w:t>
            </w:r>
          </w:p>
        </w:tc>
        <w:tc>
          <w:tcPr>
            <w:tcW w:type="dxa" w:w="4824"/>
          </w:tcPr>
          <w:p>
            <w:pPr>
              <w:spacing w:after="40"/>
            </w:pPr>
            <w:r>
              <w:rPr>
                <w:sz w:val="19"/>
              </w:rPr>
              <w:t>Three Nemotron sizes with distinct prompts, streamed replies, structured output with defaults, hard timeouts, graceful degradation and honest mode reporting</w:t>
            </w:r>
          </w:p>
        </w:tc>
      </w:tr>
      <w:tr>
        <w:trPr>
          <w:cantSplit/>
        </w:trPr>
        <w:tc>
          <w:tcPr>
            <w:tcW w:type="dxa" w:w="4824"/>
          </w:tcPr>
          <w:p>
            <w:pPr>
              <w:spacing w:after="40"/>
            </w:pPr>
            <w:r>
              <w:rPr>
                <w:sz w:val="19"/>
              </w:rPr>
              <w:t>Design</w:t>
            </w:r>
          </w:p>
        </w:tc>
        <w:tc>
          <w:tcPr>
            <w:tcW w:type="dxa" w:w="4824"/>
          </w:tcPr>
          <w:p>
            <w:pPr>
              <w:spacing w:after="40"/>
            </w:pPr>
            <w:r>
              <w:rPr>
                <w:sz w:val="19"/>
              </w:rPr>
              <w:t>One coherent console rather than a proof of concept: transcript, live analysis, routing telemetry and a post-call record in a single surface</w:t>
            </w:r>
          </w:p>
        </w:tc>
      </w:tr>
      <w:tr>
        <w:trPr>
          <w:cantSplit/>
        </w:trPr>
        <w:tc>
          <w:tcPr>
            <w:tcW w:type="dxa" w:w="4824"/>
          </w:tcPr>
          <w:p>
            <w:pPr>
              <w:spacing w:after="40"/>
            </w:pPr>
            <w:r>
              <w:rPr>
                <w:sz w:val="19"/>
              </w:rPr>
              <w:t>Potential impact</w:t>
            </w:r>
          </w:p>
        </w:tc>
        <w:tc>
          <w:tcPr>
            <w:tcW w:type="dxa" w:w="4824"/>
          </w:tcPr>
          <w:p>
            <w:pPr>
              <w:spacing w:after="40"/>
            </w:pPr>
            <w:r>
              <w:rPr>
                <w:sz w:val="19"/>
              </w:rPr>
              <w:t>The post-call record is the part support teams actually lose today, and the tiering is what makes it affordable to produce on every call</w:t>
            </w:r>
          </w:p>
        </w:tc>
      </w:tr>
      <w:tr>
        <w:trPr>
          <w:cantSplit/>
        </w:trPr>
        <w:tc>
          <w:tcPr>
            <w:tcW w:type="dxa" w:w="4824"/>
          </w:tcPr>
          <w:p>
            <w:pPr>
              <w:spacing w:after="40"/>
            </w:pPr>
            <w:r>
              <w:rPr>
                <w:sz w:val="19"/>
              </w:rPr>
              <w:t>Quality of idea</w:t>
            </w:r>
          </w:p>
        </w:tc>
        <w:tc>
          <w:tcPr>
            <w:tcW w:type="dxa" w:w="4824"/>
          </w:tcPr>
          <w:p>
            <w:pPr>
              <w:spacing w:after="40"/>
            </w:pPr>
            <w:r>
              <w:rPr>
                <w:sz w:val="19"/>
              </w:rPr>
              <w:t>Model tiering as a latency design, not a cost trick, and the split is visible in the interface rather than hidden in a config file</w:t>
            </w:r>
          </w:p>
        </w:tc>
      </w:tr>
    </w:tbl>
    <w:p>
      <w:pPr>
        <w:spacing w:after="40"/>
      </w:pPr>
    </w:p>
    <w:p>
      <w:pPr>
        <w:spacing w:before="40" w:after="160"/>
        <w:pBdr>
          <w:bottom w:val="single" w:sz="6" w:space="1" w:color="D3DCE8"/>
        </w:pBdr>
      </w:pPr>
    </w:p>
    <w:p>
      <w:pPr>
        <w:keepNext/>
        <w:spacing w:before="280" w:after="80"/>
        <w:pBdr>
          <w:bottom w:val="single" w:sz="6" w:space="3" w:color="2E5C8A"/>
        </w:pBdr>
      </w:pPr>
      <w:r>
        <w:rPr>
          <w:b/>
          <w:color w:val="1F3864"/>
          <w:sz w:val="28"/>
        </w:rPr>
        <w:t>15. Change from the Week 1 prototype</w:t>
      </w:r>
    </w:p>
    <w:p>
      <w:r>
        <w:t>The Week 1 internship prototype was a Python, standard-library, rule-based CLI support agent with 27 unit tests and no model at all. This project keeps the domain and the safety rule, and replaces the intelligence and the interface.</w:t>
      </w:r>
    </w:p>
    <w:tbl>
      <w:tblPr>
        <w:tblStyle w:val="TableGrid"/>
        <w:tblW w:type="auto" w:w="0"/>
        <w:jc w:val="center"/>
        <w:tblLook w:firstColumn="1" w:firstRow="1" w:lastColumn="0" w:lastRow="0" w:noHBand="0" w:noVBand="1" w:val="04A0"/>
      </w:tblPr>
      <w:tblGrid>
        <w:gridCol w:w="4824"/>
        <w:gridCol w:w="4824"/>
      </w:tblGrid>
      <w:tr>
        <w:trPr>
          <w:cantSplit/>
          <w:tblHeader w:val="true"/>
        </w:trPr>
        <w:tc>
          <w:tcPr>
            <w:tcW w:type="dxa" w:w="4824"/>
            <w:shd w:val="clear" w:color="auto" w:fill="E8EDF4"/>
          </w:tcPr>
          <w:p>
            <w:pPr>
              <w:spacing w:after="40"/>
            </w:pPr>
            <w:r>
              <w:rPr>
                <w:b/>
                <w:sz w:val="19"/>
              </w:rPr>
              <w:t>Week 1</w:t>
            </w:r>
          </w:p>
        </w:tc>
        <w:tc>
          <w:tcPr>
            <w:tcW w:type="dxa" w:w="4824"/>
            <w:shd w:val="clear" w:color="auto" w:fill="E8EDF4"/>
          </w:tcPr>
          <w:p>
            <w:pPr>
              <w:spacing w:after="40"/>
            </w:pPr>
            <w:r>
              <w:rPr>
                <w:b/>
                <w:sz w:val="19"/>
              </w:rPr>
              <w:t>CallLens</w:t>
            </w:r>
          </w:p>
        </w:tc>
      </w:tr>
      <w:tr>
        <w:trPr>
          <w:cantSplit/>
        </w:trPr>
        <w:tc>
          <w:tcPr>
            <w:tcW w:type="dxa" w:w="4824"/>
          </w:tcPr>
          <w:p>
            <w:pPr>
              <w:spacing w:after="40"/>
            </w:pPr>
            <w:r>
              <w:rPr>
                <w:sz w:val="19"/>
              </w:rPr>
              <w:t>Python command-line tool</w:t>
            </w:r>
          </w:p>
        </w:tc>
        <w:tc>
          <w:tcPr>
            <w:tcW w:type="dxa" w:w="4824"/>
          </w:tcPr>
          <w:p>
            <w:pPr>
              <w:spacing w:after="40"/>
            </w:pPr>
            <w:r>
              <w:rPr>
                <w:sz w:val="19"/>
              </w:rPr>
              <w:t>Browser console</w:t>
            </w:r>
          </w:p>
        </w:tc>
      </w:tr>
      <w:tr>
        <w:trPr>
          <w:cantSplit/>
        </w:trPr>
        <w:tc>
          <w:tcPr>
            <w:tcW w:type="dxa" w:w="4824"/>
          </w:tcPr>
          <w:p>
            <w:pPr>
              <w:spacing w:after="40"/>
            </w:pPr>
            <w:r>
              <w:rPr>
                <w:sz w:val="19"/>
              </w:rPr>
              <w:t>Regex intent detection</w:t>
            </w:r>
          </w:p>
        </w:tc>
        <w:tc>
          <w:tcPr>
            <w:tcW w:type="dxa" w:w="4824"/>
          </w:tcPr>
          <w:p>
            <w:pPr>
              <w:spacing w:after="40"/>
            </w:pPr>
            <w:r>
              <w:rPr>
                <w:sz w:val="19"/>
              </w:rPr>
              <w:t>Nemotron Nano classification</w:t>
            </w:r>
          </w:p>
        </w:tc>
      </w:tr>
      <w:tr>
        <w:trPr>
          <w:cantSplit/>
        </w:trPr>
        <w:tc>
          <w:tcPr>
            <w:tcW w:type="dxa" w:w="4824"/>
          </w:tcPr>
          <w:p>
            <w:pPr>
              <w:spacing w:after="40"/>
            </w:pPr>
            <w:r>
              <w:rPr>
                <w:sz w:val="19"/>
              </w:rPr>
              <w:t>Template replies</w:t>
            </w:r>
          </w:p>
        </w:tc>
        <w:tc>
          <w:tcPr>
            <w:tcW w:type="dxa" w:w="4824"/>
          </w:tcPr>
          <w:p>
            <w:pPr>
              <w:spacing w:after="40"/>
            </w:pPr>
            <w:r>
              <w:rPr>
                <w:sz w:val="19"/>
              </w:rPr>
              <w:t>Nemotron Super, streamed and grounded</w:t>
            </w:r>
          </w:p>
        </w:tc>
      </w:tr>
      <w:tr>
        <w:trPr>
          <w:cantSplit/>
        </w:trPr>
        <w:tc>
          <w:tcPr>
            <w:tcW w:type="dxa" w:w="4824"/>
          </w:tcPr>
          <w:p>
            <w:pPr>
              <w:spacing w:after="40"/>
            </w:pPr>
            <w:r>
              <w:rPr>
                <w:sz w:val="19"/>
              </w:rPr>
              <w:t>No post-call artefact</w:t>
            </w:r>
          </w:p>
        </w:tc>
        <w:tc>
          <w:tcPr>
            <w:tcW w:type="dxa" w:w="4824"/>
          </w:tcPr>
          <w:p>
            <w:pPr>
              <w:spacing w:after="40"/>
            </w:pPr>
            <w:r>
              <w:rPr>
                <w:sz w:val="19"/>
              </w:rPr>
              <w:t>Nemotron 3 Ultra record and CRM note</w:t>
            </w:r>
          </w:p>
        </w:tc>
      </w:tr>
      <w:tr>
        <w:trPr>
          <w:cantSplit/>
        </w:trPr>
        <w:tc>
          <w:tcPr>
            <w:tcW w:type="dxa" w:w="4824"/>
          </w:tcPr>
          <w:p>
            <w:pPr>
              <w:spacing w:after="40"/>
            </w:pPr>
            <w:r>
              <w:rPr>
                <w:sz w:val="19"/>
              </w:rPr>
              <w:t>Text only, in a terminal</w:t>
            </w:r>
          </w:p>
        </w:tc>
        <w:tc>
          <w:tcPr>
            <w:tcW w:type="dxa" w:w="4824"/>
          </w:tcPr>
          <w:p>
            <w:pPr>
              <w:spacing w:after="40"/>
            </w:pPr>
            <w:r>
              <w:rPr>
                <w:sz w:val="19"/>
              </w:rPr>
              <w:t>Speech in, speech out</w:t>
            </w:r>
          </w:p>
        </w:tc>
      </w:tr>
      <w:tr>
        <w:trPr>
          <w:cantSplit/>
        </w:trPr>
        <w:tc>
          <w:tcPr>
            <w:tcW w:type="dxa" w:w="4824"/>
          </w:tcPr>
          <w:p>
            <w:pPr>
              <w:spacing w:after="40"/>
            </w:pPr>
            <w:r>
              <w:rPr>
                <w:sz w:val="19"/>
              </w:rPr>
              <w:t>No external context</w:t>
            </w:r>
          </w:p>
        </w:tc>
        <w:tc>
          <w:tcPr>
            <w:tcW w:type="dxa" w:w="4824"/>
          </w:tcPr>
          <w:p>
            <w:pPr>
              <w:spacing w:after="40"/>
            </w:pPr>
            <w:r>
              <w:rPr>
                <w:sz w:val="19"/>
              </w:rPr>
              <w:t>Optional Tavily enrichment</w:t>
            </w:r>
          </w:p>
        </w:tc>
      </w:tr>
      <w:tr>
        <w:trPr>
          <w:cantSplit/>
        </w:trPr>
        <w:tc>
          <w:tcPr>
            <w:tcW w:type="dxa" w:w="4824"/>
          </w:tcPr>
          <w:p>
            <w:pPr>
              <w:spacing w:after="40"/>
            </w:pPr>
            <w:r>
              <w:rPr>
                <w:sz w:val="19"/>
              </w:rPr>
              <w:t>27 unit tests, one process</w:t>
            </w:r>
          </w:p>
        </w:tc>
        <w:tc>
          <w:tcPr>
            <w:tcW w:type="dxa" w:w="4824"/>
          </w:tcPr>
          <w:p>
            <w:pPr>
              <w:spacing w:after="40"/>
            </w:pPr>
            <w:r>
              <w:rPr>
                <w:sz w:val="19"/>
              </w:rPr>
              <w:t>End-to-end flows across four processes, plus a mock path</w:t>
            </w:r>
          </w:p>
        </w:tc>
      </w:tr>
    </w:tbl>
    <w:p>
      <w:pPr>
        <w:spacing w:after="40"/>
      </w:pPr>
    </w:p>
    <w:p>
      <w:r>
        <w:t>What was kept on purpose: the same fictional sample data, the same "answer or hand over, never invent" rule, and the same short, speakable reply style. The rewrite is of the mechanism, not of the promise made to the customer.</w:t>
      </w:r>
    </w:p>
    <w:p>
      <w:pPr>
        <w:spacing w:before="40" w:after="160"/>
        <w:pBdr>
          <w:bottom w:val="single" w:sz="6" w:space="1" w:color="D3DCE8"/>
        </w:pBdr>
      </w:pPr>
    </w:p>
    <w:p>
      <w:pPr>
        <w:keepNext/>
        <w:spacing w:before="280" w:after="80"/>
        <w:pBdr>
          <w:bottom w:val="single" w:sz="6" w:space="3" w:color="2E5C8A"/>
        </w:pBdr>
      </w:pPr>
      <w:r>
        <w:rPr>
          <w:b/>
          <w:color w:val="1F3864"/>
          <w:sz w:val="28"/>
        </w:rPr>
        <w:t>16. Limitations and risks</w:t>
      </w:r>
    </w:p>
    <w:p>
      <w:pPr>
        <w:spacing w:after="60"/>
        <w:ind w:left="403"/>
      </w:pPr>
      <w:r>
        <w:rPr>
          <w:color w:val="2E5C8A"/>
        </w:rPr>
        <w:t xml:space="preserve">1. </w:t>
      </w:r>
      <w:r>
        <w:rPr>
          <w:b/>
        </w:rPr>
        <w:t>Voice is browser-native.</w:t>
      </w:r>
      <w:r>
        <w:t xml:space="preserve"> Recognition works in Chrome and Edge only, and there is no telephony. A real deployment needs a media-stream provider behind the same tiering.</w:t>
      </w:r>
    </w:p>
    <w:p>
      <w:pPr>
        <w:spacing w:after="60"/>
        <w:ind w:left="403"/>
      </w:pPr>
      <w:r>
        <w:rPr>
          <w:color w:val="2E5C8A"/>
        </w:rPr>
        <w:t xml:space="preserve">2. </w:t>
      </w:r>
      <w:r>
        <w:rPr>
          <w:b/>
        </w:rPr>
        <w:t>Single session.</w:t>
      </w:r>
      <w:r>
        <w:t xml:space="preserve"> No authentication, no database; a refresh clears the call.</w:t>
      </w:r>
    </w:p>
    <w:p>
      <w:pPr>
        <w:spacing w:after="60"/>
        <w:ind w:left="403"/>
      </w:pPr>
      <w:r>
        <w:rPr>
          <w:color w:val="2E5C8A"/>
        </w:rPr>
        <w:t xml:space="preserve">3. </w:t>
      </w:r>
      <w:r>
        <w:rPr>
          <w:b/>
        </w:rPr>
        <w:t>Static knowledge.</w:t>
      </w:r>
      <w:r>
        <w:t xml:space="preserve"> No retrieval layer yet; the block is small and hand-written, which is a strength for auditability and a ceiling for scale.</w:t>
      </w:r>
    </w:p>
    <w:p>
      <w:pPr>
        <w:spacing w:after="60"/>
        <w:ind w:left="403"/>
      </w:pPr>
      <w:r>
        <w:rPr>
          <w:color w:val="2E5C8A"/>
        </w:rPr>
        <w:t xml:space="preserve">4. </w:t>
      </w:r>
      <w:r>
        <w:rPr>
          <w:b/>
        </w:rPr>
        <w:t>Demo risk.</w:t>
      </w:r>
      <w:r>
        <w:t xml:space="preserve"> A wrong model id or an expired key degrades the agent to error events. Mitigated by </w:t>
      </w:r>
      <w:r>
        <w:rPr>
          <w:rFonts w:ascii="Consolas" w:hAnsi="Consolas"/>
        </w:rPr>
        <w:t>/health</w:t>
      </w:r>
      <w:r>
        <w:t xml:space="preserve">, </w:t>
      </w:r>
      <w:r>
        <w:rPr>
          <w:rFonts w:ascii="Consolas" w:hAnsi="Consolas"/>
        </w:rPr>
        <w:t>npm run models</w:t>
      </w:r>
      <w:r>
        <w:t xml:space="preserve"> and the mode badge.</w:t>
      </w:r>
    </w:p>
    <w:p>
      <w:pPr>
        <w:spacing w:after="60"/>
        <w:ind w:left="403"/>
      </w:pPr>
      <w:r>
        <w:rPr>
          <w:color w:val="2E5C8A"/>
        </w:rPr>
        <w:t xml:space="preserve">5. </w:t>
      </w:r>
      <w:r>
        <w:rPr>
          <w:b/>
        </w:rPr>
        <w:t>Mock realism.</w:t>
      </w:r>
      <w:r>
        <w:t xml:space="preserve"> Mock mode is keyword-based and could be mistaken for model quality if the badge were cropped out of a video. It is deliberately always visible, and this report states which results came from it.</w:t>
      </w:r>
    </w:p>
    <w:p>
      <w:pPr>
        <w:spacing w:after="60"/>
        <w:ind w:left="403"/>
      </w:pPr>
      <w:r>
        <w:rPr>
          <w:color w:val="2E5C8A"/>
        </w:rPr>
        <w:t xml:space="preserve">6. </w:t>
      </w:r>
      <w:r>
        <w:rPr>
          <w:b/>
        </w:rPr>
        <w:t>One language pair is proven in prompt, not in practice.</w:t>
      </w:r>
      <w:r>
        <w:t xml:space="preserve"> The reply prompt tells Aria to answer in the caller's language, including Roman Urdu. That behaviour has not been reviewed by a native speaker of every language it might meet.</w:t>
      </w:r>
    </w:p>
    <w:p>
      <w:pPr>
        <w:spacing w:before="40" w:after="160"/>
        <w:pBdr>
          <w:bottom w:val="single" w:sz="6" w:space="1" w:color="D3DCE8"/>
        </w:pBdr>
      </w:pPr>
    </w:p>
    <w:p>
      <w:pPr>
        <w:keepNext/>
        <w:spacing w:before="280" w:after="80"/>
        <w:pBdr>
          <w:bottom w:val="single" w:sz="6" w:space="3" w:color="2E5C8A"/>
        </w:pBdr>
      </w:pPr>
      <w:r>
        <w:rPr>
          <w:b/>
          <w:color w:val="1F3864"/>
          <w:sz w:val="28"/>
        </w:rPr>
        <w:t>17. Next steps</w:t>
      </w:r>
    </w:p>
    <w:p>
      <w:pPr>
        <w:spacing w:after="60"/>
        <w:ind w:left="403"/>
      </w:pPr>
      <w:r>
        <w:rPr>
          <w:color w:val="2E5C8A"/>
        </w:rPr>
        <w:t xml:space="preserve">1. </w:t>
      </w:r>
      <w:r>
        <w:rPr>
          <w:b/>
        </w:rPr>
        <w:t>Telephony.</w:t>
      </w:r>
      <w:r>
        <w:t xml:space="preserve"> Twilio or Telnyx media streams behind the same tiering. The server already streams, which is the hard part.</w:t>
      </w:r>
    </w:p>
    <w:p>
      <w:pPr>
        <w:spacing w:after="60"/>
        <w:ind w:left="403"/>
      </w:pPr>
      <w:r>
        <w:rPr>
          <w:color w:val="2E5C8A"/>
        </w:rPr>
        <w:t xml:space="preserve">2. </w:t>
      </w:r>
      <w:r>
        <w:rPr>
          <w:b/>
        </w:rPr>
        <w:t>Retrieval.</w:t>
      </w:r>
      <w:r>
        <w:t xml:space="preserve"> Replace the static knowledge block with search over approved client documents, keeping the same closed-book rule.</w:t>
      </w:r>
    </w:p>
    <w:p>
      <w:pPr>
        <w:spacing w:after="60"/>
        <w:ind w:left="403"/>
      </w:pPr>
      <w:r>
        <w:rPr>
          <w:color w:val="2E5C8A"/>
        </w:rPr>
        <w:t xml:space="preserve">3. </w:t>
      </w:r>
      <w:r>
        <w:rPr>
          <w:b/>
        </w:rPr>
        <w:t>CRM write-back.</w:t>
      </w:r>
      <w:r>
        <w:t xml:space="preserve"> The copy button becomes an API call, behind a per-customer schema.</w:t>
      </w:r>
    </w:p>
    <w:p>
      <w:pPr>
        <w:spacing w:after="60"/>
        <w:ind w:left="403"/>
      </w:pPr>
      <w:r>
        <w:rPr>
          <w:color w:val="2E5C8A"/>
        </w:rPr>
        <w:t xml:space="preserve">4. </w:t>
      </w:r>
      <w:r>
        <w:rPr>
          <w:b/>
        </w:rPr>
        <w:t>Latency budget.</w:t>
      </w:r>
      <w:r>
        <w:t xml:space="preserve"> Track p50 and p95 per tier and show them next to the model ids, so the routing panel becomes an operational instrument rather than a demo.</w:t>
      </w:r>
    </w:p>
    <w:p>
      <w:pPr>
        <w:spacing w:after="60"/>
        <w:ind w:left="403"/>
      </w:pPr>
      <w:r>
        <w:rPr>
          <w:color w:val="2E5C8A"/>
        </w:rPr>
        <w:t xml:space="preserve">5. </w:t>
      </w:r>
      <w:r>
        <w:rPr>
          <w:b/>
        </w:rPr>
        <w:t>Barge-in.</w:t>
      </w:r>
      <w:r>
        <w:t xml:space="preserve"> Interrupt the agent when the caller starts speaking. This is the difference between a demo and something a person will tolerate on a bad line.</w:t>
      </w:r>
    </w:p>
    <w:p>
      <w:pPr>
        <w:spacing w:after="60"/>
        <w:ind w:left="403"/>
      </w:pPr>
      <w:r>
        <w:rPr>
          <w:color w:val="2E5C8A"/>
        </w:rPr>
        <w:t xml:space="preserve">6. </w:t>
      </w:r>
      <w:r>
        <w:rPr>
          <w:b/>
        </w:rPr>
        <w:t>Evaluation.</w:t>
      </w:r>
      <w:r>
        <w:t xml:space="preserve"> A fixed set of recorded calls with expected intents and expected escalations, run on every prompt change. The prompts are the product; they need tests.</w:t>
      </w:r>
    </w:p>
    <w:p>
      <w:pPr>
        <w:spacing w:before="40" w:after="160"/>
        <w:pBdr>
          <w:bottom w:val="single" w:sz="6" w:space="1" w:color="D3DCE8"/>
        </w:pBdr>
      </w:pPr>
    </w:p>
    <w:p>
      <w:pPr>
        <w:keepNext/>
        <w:spacing w:before="280" w:after="80"/>
        <w:pBdr>
          <w:bottom w:val="single" w:sz="6" w:space="3" w:color="2E5C8A"/>
        </w:pBdr>
      </w:pPr>
      <w:r>
        <w:rPr>
          <w:b/>
          <w:color w:val="1F3864"/>
          <w:sz w:val="28"/>
        </w:rPr>
        <w:t>Appendix A — environment variables</w:t>
      </w:r>
    </w:p>
    <w:tbl>
      <w:tblPr>
        <w:tblStyle w:val="TableGrid"/>
        <w:tblW w:type="auto" w:w="0"/>
        <w:jc w:val="center"/>
        <w:tblLook w:firstColumn="1" w:firstRow="1" w:lastColumn="0" w:lastRow="0" w:noHBand="0" w:noVBand="1" w:val="04A0"/>
      </w:tblPr>
      <w:tblGrid>
        <w:gridCol w:w="3216"/>
        <w:gridCol w:w="3216"/>
        <w:gridCol w:w="3216"/>
      </w:tblGrid>
      <w:tr>
        <w:trPr>
          <w:cantSplit/>
          <w:tblHeader w:val="true"/>
        </w:trPr>
        <w:tc>
          <w:tcPr>
            <w:tcW w:type="dxa" w:w="3216"/>
            <w:shd w:val="clear" w:color="auto" w:fill="E8EDF4"/>
          </w:tcPr>
          <w:p>
            <w:pPr>
              <w:spacing w:after="40"/>
            </w:pPr>
            <w:r>
              <w:rPr>
                <w:b/>
                <w:sz w:val="19"/>
              </w:rPr>
              <w:t>Variable</w:t>
            </w:r>
          </w:p>
        </w:tc>
        <w:tc>
          <w:tcPr>
            <w:tcW w:type="dxa" w:w="3216"/>
            <w:shd w:val="clear" w:color="auto" w:fill="E8EDF4"/>
          </w:tcPr>
          <w:p>
            <w:pPr>
              <w:spacing w:after="40"/>
            </w:pPr>
            <w:r>
              <w:rPr>
                <w:b/>
                <w:sz w:val="19"/>
              </w:rPr>
              <w:t>Required</w:t>
            </w:r>
          </w:p>
        </w:tc>
        <w:tc>
          <w:tcPr>
            <w:tcW w:type="dxa" w:w="3216"/>
            <w:shd w:val="clear" w:color="auto" w:fill="E8EDF4"/>
          </w:tcPr>
          <w:p>
            <w:pPr>
              <w:spacing w:after="40"/>
            </w:pPr>
            <w:r>
              <w:rPr>
                <w:b/>
                <w:sz w:val="19"/>
              </w:rPr>
              <w:t>Purpose</w:t>
            </w:r>
          </w:p>
        </w:tc>
      </w:tr>
      <w:tr>
        <w:trPr>
          <w:cantSplit/>
        </w:trPr>
        <w:tc>
          <w:tcPr>
            <w:tcW w:type="dxa" w:w="3216"/>
          </w:tcPr>
          <w:p>
            <w:pPr>
              <w:spacing w:after="40"/>
            </w:pPr>
            <w:r>
              <w:rPr>
                <w:rFonts w:ascii="Consolas" w:hAnsi="Consolas"/>
                <w:sz w:val="18"/>
              </w:rPr>
              <w:t>NEBIUS_API_KEY</w:t>
            </w:r>
          </w:p>
        </w:tc>
        <w:tc>
          <w:tcPr>
            <w:tcW w:type="dxa" w:w="3216"/>
          </w:tcPr>
          <w:p>
            <w:pPr>
              <w:spacing w:after="40"/>
            </w:pPr>
            <w:r>
              <w:rPr>
                <w:sz w:val="19"/>
              </w:rPr>
              <w:t>for live</w:t>
            </w:r>
          </w:p>
        </w:tc>
        <w:tc>
          <w:tcPr>
            <w:tcW w:type="dxa" w:w="3216"/>
          </w:tcPr>
          <w:p>
            <w:pPr>
              <w:spacing w:after="40"/>
            </w:pPr>
            <w:r>
              <w:rPr>
                <w:sz w:val="19"/>
              </w:rPr>
              <w:t>Token Factory key; empty means mock mode</w:t>
            </w:r>
          </w:p>
        </w:tc>
      </w:tr>
      <w:tr>
        <w:trPr>
          <w:cantSplit/>
        </w:trPr>
        <w:tc>
          <w:tcPr>
            <w:tcW w:type="dxa" w:w="3216"/>
          </w:tcPr>
          <w:p>
            <w:pPr>
              <w:spacing w:after="40"/>
            </w:pPr>
            <w:r>
              <w:rPr>
                <w:rFonts w:ascii="Consolas" w:hAnsi="Consolas"/>
                <w:sz w:val="18"/>
              </w:rPr>
              <w:t>NEBIUS_BASE_URL</w:t>
            </w:r>
          </w:p>
        </w:tc>
        <w:tc>
          <w:tcPr>
            <w:tcW w:type="dxa" w:w="3216"/>
          </w:tcPr>
          <w:p>
            <w:pPr>
              <w:spacing w:after="40"/>
            </w:pPr>
            <w:r>
              <w:rPr>
                <w:sz w:val="19"/>
              </w:rPr>
              <w:t>no</w:t>
            </w:r>
          </w:p>
        </w:tc>
        <w:tc>
          <w:tcPr>
            <w:tcW w:type="dxa" w:w="3216"/>
          </w:tcPr>
          <w:p>
            <w:pPr>
              <w:spacing w:after="40"/>
            </w:pPr>
            <w:r>
              <w:rPr>
                <w:sz w:val="19"/>
              </w:rPr>
              <w:t xml:space="preserve">defaults to </w:t>
            </w:r>
            <w:r>
              <w:rPr>
                <w:rFonts w:ascii="Consolas" w:hAnsi="Consolas"/>
                <w:sz w:val="18"/>
              </w:rPr>
              <w:t>https://api.tokenfactory.nebius.com/v1</w:t>
            </w:r>
          </w:p>
        </w:tc>
      </w:tr>
      <w:tr>
        <w:trPr>
          <w:cantSplit/>
        </w:trPr>
        <w:tc>
          <w:tcPr>
            <w:tcW w:type="dxa" w:w="3216"/>
          </w:tcPr>
          <w:p>
            <w:pPr>
              <w:spacing w:after="40"/>
            </w:pPr>
            <w:r>
              <w:rPr>
                <w:rFonts w:ascii="Consolas" w:hAnsi="Consolas"/>
                <w:sz w:val="18"/>
              </w:rPr>
              <w:t>NEBIUS_MODEL_FAST</w:t>
            </w:r>
          </w:p>
        </w:tc>
        <w:tc>
          <w:tcPr>
            <w:tcW w:type="dxa" w:w="3216"/>
          </w:tcPr>
          <w:p>
            <w:pPr>
              <w:spacing w:after="40"/>
            </w:pPr>
            <w:r>
              <w:rPr>
                <w:sz w:val="19"/>
              </w:rPr>
              <w:t>live</w:t>
            </w:r>
          </w:p>
        </w:tc>
        <w:tc>
          <w:tcPr>
            <w:tcW w:type="dxa" w:w="3216"/>
          </w:tcPr>
          <w:p>
            <w:pPr>
              <w:spacing w:after="40"/>
            </w:pPr>
            <w:r>
              <w:rPr>
                <w:sz w:val="19"/>
              </w:rPr>
              <w:t>Nano model id</w:t>
            </w:r>
          </w:p>
        </w:tc>
      </w:tr>
      <w:tr>
        <w:trPr>
          <w:cantSplit/>
        </w:trPr>
        <w:tc>
          <w:tcPr>
            <w:tcW w:type="dxa" w:w="3216"/>
          </w:tcPr>
          <w:p>
            <w:pPr>
              <w:spacing w:after="40"/>
            </w:pPr>
            <w:r>
              <w:rPr>
                <w:rFonts w:ascii="Consolas" w:hAnsi="Consolas"/>
                <w:sz w:val="18"/>
              </w:rPr>
              <w:t>NEBIUS_MODEL_MAIN</w:t>
            </w:r>
          </w:p>
        </w:tc>
        <w:tc>
          <w:tcPr>
            <w:tcW w:type="dxa" w:w="3216"/>
          </w:tcPr>
          <w:p>
            <w:pPr>
              <w:spacing w:after="40"/>
            </w:pPr>
            <w:r>
              <w:rPr>
                <w:sz w:val="19"/>
              </w:rPr>
              <w:t>live</w:t>
            </w:r>
          </w:p>
        </w:tc>
        <w:tc>
          <w:tcPr>
            <w:tcW w:type="dxa" w:w="3216"/>
          </w:tcPr>
          <w:p>
            <w:pPr>
              <w:spacing w:after="40"/>
            </w:pPr>
            <w:r>
              <w:rPr>
                <w:sz w:val="19"/>
              </w:rPr>
              <w:t>Super model id</w:t>
            </w:r>
          </w:p>
        </w:tc>
      </w:tr>
      <w:tr>
        <w:trPr>
          <w:cantSplit/>
        </w:trPr>
        <w:tc>
          <w:tcPr>
            <w:tcW w:type="dxa" w:w="3216"/>
          </w:tcPr>
          <w:p>
            <w:pPr>
              <w:spacing w:after="40"/>
            </w:pPr>
            <w:r>
              <w:rPr>
                <w:rFonts w:ascii="Consolas" w:hAnsi="Consolas"/>
                <w:sz w:val="18"/>
              </w:rPr>
              <w:t>NEBIUS_MODEL_DEEP</w:t>
            </w:r>
          </w:p>
        </w:tc>
        <w:tc>
          <w:tcPr>
            <w:tcW w:type="dxa" w:w="3216"/>
          </w:tcPr>
          <w:p>
            <w:pPr>
              <w:spacing w:after="40"/>
            </w:pPr>
            <w:r>
              <w:rPr>
                <w:sz w:val="19"/>
              </w:rPr>
              <w:t>live</w:t>
            </w:r>
          </w:p>
        </w:tc>
        <w:tc>
          <w:tcPr>
            <w:tcW w:type="dxa" w:w="3216"/>
          </w:tcPr>
          <w:p>
            <w:pPr>
              <w:spacing w:after="40"/>
            </w:pPr>
            <w:r>
              <w:rPr>
                <w:sz w:val="19"/>
              </w:rPr>
              <w:t>Ultra model id</w:t>
            </w:r>
          </w:p>
        </w:tc>
      </w:tr>
      <w:tr>
        <w:trPr>
          <w:cantSplit/>
        </w:trPr>
        <w:tc>
          <w:tcPr>
            <w:tcW w:type="dxa" w:w="3216"/>
          </w:tcPr>
          <w:p>
            <w:pPr>
              <w:spacing w:after="40"/>
            </w:pPr>
            <w:r>
              <w:rPr>
                <w:rFonts w:ascii="Consolas" w:hAnsi="Consolas"/>
                <w:sz w:val="18"/>
              </w:rPr>
              <w:t>TAVILY_API_KEY</w:t>
            </w:r>
          </w:p>
        </w:tc>
        <w:tc>
          <w:tcPr>
            <w:tcW w:type="dxa" w:w="3216"/>
          </w:tcPr>
          <w:p>
            <w:pPr>
              <w:spacing w:after="40"/>
            </w:pPr>
            <w:r>
              <w:rPr>
                <w:sz w:val="19"/>
              </w:rPr>
              <w:t>no</w:t>
            </w:r>
          </w:p>
        </w:tc>
        <w:tc>
          <w:tcPr>
            <w:tcW w:type="dxa" w:w="3216"/>
          </w:tcPr>
          <w:p>
            <w:pPr>
              <w:spacing w:after="40"/>
            </w:pPr>
            <w:r>
              <w:rPr>
                <w:sz w:val="19"/>
              </w:rPr>
              <w:t>enables the web-context panel</w:t>
            </w:r>
          </w:p>
        </w:tc>
      </w:tr>
      <w:tr>
        <w:trPr>
          <w:cantSplit/>
        </w:trPr>
        <w:tc>
          <w:tcPr>
            <w:tcW w:type="dxa" w:w="3216"/>
          </w:tcPr>
          <w:p>
            <w:pPr>
              <w:spacing w:after="40"/>
            </w:pPr>
            <w:r>
              <w:rPr>
                <w:rFonts w:ascii="Consolas" w:hAnsi="Consolas"/>
                <w:sz w:val="18"/>
              </w:rPr>
              <w:t>PORT</w:t>
            </w:r>
          </w:p>
        </w:tc>
        <w:tc>
          <w:tcPr>
            <w:tcW w:type="dxa" w:w="3216"/>
          </w:tcPr>
          <w:p>
            <w:pPr>
              <w:spacing w:after="40"/>
            </w:pPr>
            <w:r>
              <w:rPr>
                <w:sz w:val="19"/>
              </w:rPr>
              <w:t>no</w:t>
            </w:r>
          </w:p>
        </w:tc>
        <w:tc>
          <w:tcPr>
            <w:tcW w:type="dxa" w:w="3216"/>
          </w:tcPr>
          <w:p>
            <w:pPr>
              <w:spacing w:after="40"/>
            </w:pPr>
            <w:r>
              <w:rPr>
                <w:sz w:val="19"/>
              </w:rPr>
              <w:t>defaults to 3000</w:t>
            </w:r>
          </w:p>
        </w:tc>
      </w:tr>
      <w:tr>
        <w:trPr>
          <w:cantSplit/>
        </w:trPr>
        <w:tc>
          <w:tcPr>
            <w:tcW w:type="dxa" w:w="3216"/>
          </w:tcPr>
          <w:p>
            <w:pPr>
              <w:spacing w:after="40"/>
            </w:pPr>
            <w:r>
              <w:rPr>
                <w:rFonts w:ascii="Consolas" w:hAnsi="Consolas"/>
                <w:sz w:val="18"/>
              </w:rPr>
              <w:t>MOCK_MODELS</w:t>
            </w:r>
          </w:p>
        </w:tc>
        <w:tc>
          <w:tcPr>
            <w:tcW w:type="dxa" w:w="3216"/>
          </w:tcPr>
          <w:p>
            <w:pPr>
              <w:spacing w:after="40"/>
            </w:pPr>
            <w:r>
              <w:rPr>
                <w:sz w:val="19"/>
              </w:rPr>
              <w:t>no</w:t>
            </w:r>
          </w:p>
        </w:tc>
        <w:tc>
          <w:tcPr>
            <w:tcW w:type="dxa" w:w="3216"/>
          </w:tcPr>
          <w:p>
            <w:pPr>
              <w:spacing w:after="40"/>
            </w:pPr>
            <w:r>
              <w:rPr>
                <w:rFonts w:ascii="Consolas" w:hAnsi="Consolas"/>
                <w:sz w:val="18"/>
              </w:rPr>
              <w:t>1</w:t>
            </w:r>
            <w:r>
              <w:rPr>
                <w:sz w:val="19"/>
              </w:rPr>
              <w:t xml:space="preserve"> forces mock mode even when a key is present</w:t>
            </w:r>
          </w:p>
        </w:tc>
      </w:tr>
      <w:tr>
        <w:trPr>
          <w:cantSplit/>
        </w:trPr>
        <w:tc>
          <w:tcPr>
            <w:tcW w:type="dxa" w:w="3216"/>
          </w:tcPr>
          <w:p>
            <w:pPr>
              <w:spacing w:after="40"/>
            </w:pPr>
            <w:r>
              <w:rPr>
                <w:rFonts w:ascii="Consolas" w:hAnsi="Consolas"/>
                <w:sz w:val="18"/>
              </w:rPr>
              <w:t>REQUEST_TIMEOUT_MS</w:t>
            </w:r>
          </w:p>
        </w:tc>
        <w:tc>
          <w:tcPr>
            <w:tcW w:type="dxa" w:w="3216"/>
          </w:tcPr>
          <w:p>
            <w:pPr>
              <w:spacing w:after="40"/>
            </w:pPr>
            <w:r>
              <w:rPr>
                <w:sz w:val="19"/>
              </w:rPr>
              <w:t>no</w:t>
            </w:r>
          </w:p>
        </w:tc>
        <w:tc>
          <w:tcPr>
            <w:tcW w:type="dxa" w:w="3216"/>
          </w:tcPr>
          <w:p>
            <w:pPr>
              <w:spacing w:after="40"/>
            </w:pPr>
            <w:r>
              <w:rPr>
                <w:sz w:val="19"/>
              </w:rPr>
              <w:t>per-request ceiling, defaults to 25000</w:t>
            </w:r>
          </w:p>
        </w:tc>
      </w:tr>
    </w:tbl>
    <w:p>
      <w:pPr>
        <w:spacing w:after="40"/>
      </w:pPr>
    </w:p>
    <w:p>
      <w:pPr>
        <w:keepNext/>
        <w:spacing w:before="280" w:after="80"/>
        <w:pBdr>
          <w:bottom w:val="single" w:sz="6" w:space="3" w:color="2E5C8A"/>
        </w:pBdr>
      </w:pPr>
      <w:r>
        <w:rPr>
          <w:b/>
          <w:color w:val="1F3864"/>
          <w:sz w:val="28"/>
        </w:rPr>
        <w:t>Appendix B — glossary</w:t>
      </w:r>
    </w:p>
    <w:tbl>
      <w:tblPr>
        <w:tblStyle w:val="TableGrid"/>
        <w:tblW w:type="auto" w:w="0"/>
        <w:jc w:val="center"/>
        <w:tblLook w:firstColumn="1" w:firstRow="1" w:lastColumn="0" w:lastRow="0" w:noHBand="0" w:noVBand="1" w:val="04A0"/>
      </w:tblPr>
      <w:tblGrid>
        <w:gridCol w:w="4824"/>
        <w:gridCol w:w="4824"/>
      </w:tblGrid>
      <w:tr>
        <w:trPr>
          <w:cantSplit/>
          <w:tblHeader w:val="true"/>
        </w:trPr>
        <w:tc>
          <w:tcPr>
            <w:tcW w:type="dxa" w:w="4824"/>
            <w:shd w:val="clear" w:color="auto" w:fill="E8EDF4"/>
          </w:tcPr>
          <w:p>
            <w:pPr>
              <w:spacing w:after="40"/>
            </w:pPr>
            <w:r>
              <w:rPr>
                <w:b/>
                <w:sz w:val="19"/>
              </w:rPr>
              <w:t>Term</w:t>
            </w:r>
          </w:p>
        </w:tc>
        <w:tc>
          <w:tcPr>
            <w:tcW w:type="dxa" w:w="4824"/>
            <w:shd w:val="clear" w:color="auto" w:fill="E8EDF4"/>
          </w:tcPr>
          <w:p>
            <w:pPr>
              <w:spacing w:after="40"/>
            </w:pPr>
            <w:r>
              <w:rPr>
                <w:b/>
                <w:sz w:val="19"/>
              </w:rPr>
              <w:t>Meaning here</w:t>
            </w:r>
          </w:p>
        </w:tc>
      </w:tr>
      <w:tr>
        <w:trPr>
          <w:cantSplit/>
        </w:trPr>
        <w:tc>
          <w:tcPr>
            <w:tcW w:type="dxa" w:w="4824"/>
          </w:tcPr>
          <w:p>
            <w:pPr>
              <w:spacing w:after="40"/>
            </w:pPr>
            <w:r>
              <w:rPr>
                <w:sz w:val="19"/>
              </w:rPr>
              <w:t>Tier</w:t>
            </w:r>
          </w:p>
        </w:tc>
        <w:tc>
          <w:tcPr>
            <w:tcW w:type="dxa" w:w="4824"/>
          </w:tcPr>
          <w:p>
            <w:pPr>
              <w:spacing w:after="40"/>
            </w:pPr>
            <w:r>
              <w:rPr>
                <w:sz w:val="19"/>
              </w:rPr>
              <w:t>One of the three model roles: classify, speak, record</w:t>
            </w:r>
          </w:p>
        </w:tc>
      </w:tr>
      <w:tr>
        <w:trPr>
          <w:cantSplit/>
        </w:trPr>
        <w:tc>
          <w:tcPr>
            <w:tcW w:type="dxa" w:w="4824"/>
          </w:tcPr>
          <w:p>
            <w:pPr>
              <w:spacing w:after="40"/>
            </w:pPr>
            <w:r>
              <w:rPr>
                <w:sz w:val="19"/>
              </w:rPr>
              <w:t>Grounding</w:t>
            </w:r>
          </w:p>
        </w:tc>
        <w:tc>
          <w:tcPr>
            <w:tcW w:type="dxa" w:w="4824"/>
          </w:tcPr>
          <w:p>
            <w:pPr>
              <w:spacing w:after="40"/>
            </w:pPr>
            <w:r>
              <w:rPr>
                <w:sz w:val="19"/>
              </w:rPr>
              <w:t>Restricting an answer to a fixed set of approved facts</w:t>
            </w:r>
          </w:p>
        </w:tc>
      </w:tr>
      <w:tr>
        <w:trPr>
          <w:cantSplit/>
        </w:trPr>
        <w:tc>
          <w:tcPr>
            <w:tcW w:type="dxa" w:w="4824"/>
          </w:tcPr>
          <w:p>
            <w:pPr>
              <w:spacing w:after="40"/>
            </w:pPr>
            <w:r>
              <w:rPr>
                <w:sz w:val="19"/>
              </w:rPr>
              <w:t>Handoff</w:t>
            </w:r>
          </w:p>
        </w:tc>
        <w:tc>
          <w:tcPr>
            <w:tcW w:type="dxa" w:w="4824"/>
          </w:tcPr>
          <w:p>
            <w:pPr>
              <w:spacing w:after="40"/>
            </w:pPr>
            <w:r>
              <w:rPr>
                <w:sz w:val="19"/>
              </w:rPr>
              <w:t>Passing the caller to a human instead of guessing</w:t>
            </w:r>
          </w:p>
        </w:tc>
      </w:tr>
      <w:tr>
        <w:trPr>
          <w:cantSplit/>
        </w:trPr>
        <w:tc>
          <w:tcPr>
            <w:tcW w:type="dxa" w:w="4824"/>
          </w:tcPr>
          <w:p>
            <w:pPr>
              <w:spacing w:after="40"/>
            </w:pPr>
            <w:r>
              <w:rPr>
                <w:sz w:val="19"/>
              </w:rPr>
              <w:t>NDJSON</w:t>
            </w:r>
          </w:p>
        </w:tc>
        <w:tc>
          <w:tcPr>
            <w:tcW w:type="dxa" w:w="4824"/>
          </w:tcPr>
          <w:p>
            <w:pPr>
              <w:spacing w:after="40"/>
            </w:pPr>
            <w:r>
              <w:rPr>
                <w:sz w:val="19"/>
              </w:rPr>
              <w:t>One JSON object per line, streamed over a single connection</w:t>
            </w:r>
          </w:p>
        </w:tc>
      </w:tr>
      <w:tr>
        <w:trPr>
          <w:cantSplit/>
        </w:trPr>
        <w:tc>
          <w:tcPr>
            <w:tcW w:type="dxa" w:w="4824"/>
          </w:tcPr>
          <w:p>
            <w:pPr>
              <w:spacing w:after="40"/>
            </w:pPr>
            <w:r>
              <w:rPr>
                <w:sz w:val="19"/>
              </w:rPr>
              <w:t>SSE</w:t>
            </w:r>
          </w:p>
        </w:tc>
        <w:tc>
          <w:tcPr>
            <w:tcW w:type="dxa" w:w="4824"/>
          </w:tcPr>
          <w:p>
            <w:pPr>
              <w:spacing w:after="40"/>
            </w:pPr>
            <w:r>
              <w:rPr>
                <w:sz w:val="19"/>
              </w:rPr>
              <w:t>Server-sent events, the streaming format Token Factory uses</w:t>
            </w:r>
          </w:p>
        </w:tc>
      </w:tr>
      <w:tr>
        <w:trPr>
          <w:cantSplit/>
        </w:trPr>
        <w:tc>
          <w:tcPr>
            <w:tcW w:type="dxa" w:w="4824"/>
          </w:tcPr>
          <w:p>
            <w:pPr>
              <w:spacing w:after="40"/>
            </w:pPr>
            <w:r>
              <w:rPr>
                <w:sz w:val="19"/>
              </w:rPr>
              <w:t>p95</w:t>
            </w:r>
          </w:p>
        </w:tc>
        <w:tc>
          <w:tcPr>
            <w:tcW w:type="dxa" w:w="4824"/>
          </w:tcPr>
          <w:p>
            <w:pPr>
              <w:spacing w:after="40"/>
            </w:pPr>
            <w:r>
              <w:rPr>
                <w:sz w:val="19"/>
              </w:rPr>
              <w:t>The latency below which 95 percent of requests complete</w:t>
            </w:r>
          </w:p>
        </w:tc>
      </w:tr>
      <w:tr>
        <w:trPr>
          <w:cantSplit/>
        </w:trPr>
        <w:tc>
          <w:tcPr>
            <w:tcW w:type="dxa" w:w="4824"/>
          </w:tcPr>
          <w:p>
            <w:pPr>
              <w:spacing w:after="40"/>
            </w:pPr>
            <w:r>
              <w:rPr>
                <w:sz w:val="19"/>
              </w:rPr>
              <w:t>Mock mode</w:t>
            </w:r>
          </w:p>
        </w:tc>
        <w:tc>
          <w:tcPr>
            <w:tcW w:type="dxa" w:w="4824"/>
          </w:tcPr>
          <w:p>
            <w:pPr>
              <w:spacing w:after="40"/>
            </w:pPr>
            <w:r>
              <w:rPr>
                <w:sz w:val="19"/>
              </w:rPr>
              <w:t>An offline path that mimics the models' output shapes</w:t>
            </w:r>
          </w:p>
        </w:tc>
      </w:tr>
    </w:tbl>
    <w:p>
      <w:pPr>
        <w:spacing w:after="40"/>
      </w:pPr>
    </w:p>
    <w:p>
      <w:pPr>
        <w:keepNext/>
        <w:spacing w:before="280" w:after="80"/>
        <w:pBdr>
          <w:bottom w:val="single" w:sz="6" w:space="3" w:color="2E5C8A"/>
        </w:pBdr>
      </w:pPr>
      <w:r>
        <w:rPr>
          <w:b/>
          <w:color w:val="1F3864"/>
          <w:sz w:val="28"/>
        </w:rPr>
        <w:t>Appendix C — repository layout</w:t>
      </w:r>
    </w:p>
    <w:p>
      <w:pPr>
        <w:spacing w:after="0" w:line="240" w:lineRule="auto"/>
        <w:ind w:left="288"/>
        <w:shd w:val="clear" w:fill="F3F4F6"/>
      </w:pPr>
      <w:r>
        <w:rPr>
          <w:rFonts w:ascii="Consolas" w:hAnsi="Consolas"/>
          <w:color w:val="252A33"/>
          <w:sz w:val="18"/>
        </w:rPr>
        <w:t>calllens/</w:t>
      </w:r>
    </w:p>
    <w:p>
      <w:pPr>
        <w:spacing w:after="0" w:line="240" w:lineRule="auto"/>
        <w:ind w:left="288"/>
        <w:shd w:val="clear" w:fill="F3F4F6"/>
      </w:pPr>
      <w:r>
        <w:rPr>
          <w:rFonts w:ascii="Consolas" w:hAnsi="Consolas"/>
          <w:color w:val="252A33"/>
          <w:sz w:val="18"/>
        </w:rPr>
        <w:t xml:space="preserve">  server.mjs                 HTTP server, routing, NDJSON turn stream</w:t>
      </w:r>
    </w:p>
    <w:p>
      <w:pPr>
        <w:spacing w:after="0" w:line="240" w:lineRule="auto"/>
        <w:ind w:left="288"/>
        <w:shd w:val="clear" w:fill="F3F4F6"/>
      </w:pPr>
      <w:r>
        <w:rPr>
          <w:rFonts w:ascii="Consolas" w:hAnsi="Consolas"/>
          <w:color w:val="252A33"/>
          <w:sz w:val="18"/>
        </w:rPr>
        <w:t xml:space="preserve">  package.json               scripts: start, models, report</w:t>
      </w:r>
    </w:p>
    <w:p>
      <w:pPr>
        <w:spacing w:after="0" w:line="240" w:lineRule="auto"/>
        <w:ind w:left="288"/>
        <w:shd w:val="clear" w:fill="F3F4F6"/>
      </w:pPr>
      <w:r>
        <w:rPr>
          <w:rFonts w:ascii="Consolas" w:hAnsi="Consolas"/>
          <w:color w:val="252A33"/>
          <w:sz w:val="18"/>
        </w:rPr>
        <w:t xml:space="preserve">  .env.example               configuration template, safe to publish</w:t>
      </w:r>
    </w:p>
    <w:p>
      <w:pPr>
        <w:spacing w:after="0" w:line="240" w:lineRule="auto"/>
        <w:ind w:left="288"/>
        <w:shd w:val="clear" w:fill="F3F4F6"/>
      </w:pPr>
      <w:r>
        <w:rPr>
          <w:rFonts w:ascii="Consolas" w:hAnsi="Consolas"/>
          <w:color w:val="252A33"/>
          <w:sz w:val="18"/>
        </w:rPr>
        <w:t xml:space="preserve">  lib/</w:t>
      </w:r>
    </w:p>
    <w:p>
      <w:pPr>
        <w:spacing w:after="0" w:line="240" w:lineRule="auto"/>
        <w:ind w:left="288"/>
        <w:shd w:val="clear" w:fill="F3F4F6"/>
      </w:pPr>
      <w:r>
        <w:rPr>
          <w:rFonts w:ascii="Consolas" w:hAnsi="Consolas"/>
          <w:color w:val="252A33"/>
          <w:sz w:val="18"/>
        </w:rPr>
        <w:t xml:space="preserve">    nebius.mjs               Token Factory client and mode detection</w:t>
      </w:r>
    </w:p>
    <w:p>
      <w:pPr>
        <w:spacing w:after="0" w:line="240" w:lineRule="auto"/>
        <w:ind w:left="288"/>
        <w:shd w:val="clear" w:fill="F3F4F6"/>
      </w:pPr>
      <w:r>
        <w:rPr>
          <w:rFonts w:ascii="Consolas" w:hAnsi="Consolas"/>
          <w:color w:val="252A33"/>
          <w:sz w:val="18"/>
        </w:rPr>
        <w:t xml:space="preserve">    prompts.mjs              the three system prompts</w:t>
      </w:r>
    </w:p>
    <w:p>
      <w:pPr>
        <w:spacing w:after="0" w:line="240" w:lineRule="auto"/>
        <w:ind w:left="288"/>
        <w:shd w:val="clear" w:fill="F3F4F6"/>
      </w:pPr>
      <w:r>
        <w:rPr>
          <w:rFonts w:ascii="Consolas" w:hAnsi="Consolas"/>
          <w:color w:val="252A33"/>
          <w:sz w:val="18"/>
        </w:rPr>
        <w:t xml:space="preserve">    data.mjs                 approved orders, hours and FAQs</w:t>
      </w:r>
    </w:p>
    <w:p>
      <w:pPr>
        <w:spacing w:after="0" w:line="240" w:lineRule="auto"/>
        <w:ind w:left="288"/>
        <w:shd w:val="clear" w:fill="F3F4F6"/>
      </w:pPr>
      <w:r>
        <w:rPr>
          <w:rFonts w:ascii="Consolas" w:hAnsi="Consolas"/>
          <w:color w:val="252A33"/>
          <w:sz w:val="18"/>
        </w:rPr>
        <w:t xml:space="preserve">    mock.mjs                 offline classifier, replies and record</w:t>
      </w:r>
    </w:p>
    <w:p>
      <w:pPr>
        <w:spacing w:after="0" w:line="240" w:lineRule="auto"/>
        <w:ind w:left="288"/>
        <w:shd w:val="clear" w:fill="F3F4F6"/>
      </w:pPr>
      <w:r>
        <w:rPr>
          <w:rFonts w:ascii="Consolas" w:hAnsi="Consolas"/>
          <w:color w:val="252A33"/>
          <w:sz w:val="18"/>
        </w:rPr>
        <w:t xml:space="preserve">    tavily.mjs               optional web search</w:t>
      </w:r>
    </w:p>
    <w:p>
      <w:pPr>
        <w:spacing w:after="0" w:line="240" w:lineRule="auto"/>
        <w:ind w:left="288"/>
        <w:shd w:val="clear" w:fill="F3F4F6"/>
      </w:pPr>
      <w:r>
        <w:rPr>
          <w:rFonts w:ascii="Consolas" w:hAnsi="Consolas"/>
          <w:color w:val="252A33"/>
          <w:sz w:val="18"/>
        </w:rPr>
        <w:t xml:space="preserve">  public/</w:t>
      </w:r>
    </w:p>
    <w:p>
      <w:pPr>
        <w:spacing w:after="0" w:line="240" w:lineRule="auto"/>
        <w:ind w:left="288"/>
        <w:shd w:val="clear" w:fill="F3F4F6"/>
      </w:pPr>
      <w:r>
        <w:rPr>
          <w:rFonts w:ascii="Consolas" w:hAnsi="Consolas"/>
          <w:color w:val="252A33"/>
          <w:sz w:val="18"/>
        </w:rPr>
        <w:t xml:space="preserve">    index.html               console, rail, modal</w:t>
      </w:r>
    </w:p>
    <w:p>
      <w:pPr>
        <w:spacing w:after="0" w:line="240" w:lineRule="auto"/>
        <w:ind w:left="288"/>
        <w:shd w:val="clear" w:fill="F3F4F6"/>
      </w:pPr>
      <w:r>
        <w:rPr>
          <w:rFonts w:ascii="Consolas" w:hAnsi="Consolas"/>
          <w:color w:val="252A33"/>
          <w:sz w:val="18"/>
        </w:rPr>
        <w:t xml:space="preserve">    styles.css               design system</w:t>
      </w:r>
    </w:p>
    <w:p>
      <w:pPr>
        <w:spacing w:after="0" w:line="240" w:lineRule="auto"/>
        <w:ind w:left="288"/>
        <w:shd w:val="clear" w:fill="F3F4F6"/>
      </w:pPr>
      <w:r>
        <w:rPr>
          <w:rFonts w:ascii="Consolas" w:hAnsi="Consolas"/>
          <w:color w:val="252A33"/>
          <w:sz w:val="18"/>
        </w:rPr>
        <w:t xml:space="preserve">    app.js                   state, stream reader, voice</w:t>
      </w:r>
    </w:p>
    <w:p>
      <w:pPr>
        <w:spacing w:after="0" w:line="240" w:lineRule="auto"/>
        <w:ind w:left="288"/>
        <w:shd w:val="clear" w:fill="F3F4F6"/>
      </w:pPr>
      <w:r>
        <w:rPr>
          <w:rFonts w:ascii="Consolas" w:hAnsi="Consolas"/>
          <w:color w:val="252A33"/>
          <w:sz w:val="18"/>
        </w:rPr>
        <w:t xml:space="preserve">  scripts/</w:t>
      </w:r>
    </w:p>
    <w:p>
      <w:pPr>
        <w:spacing w:after="0" w:line="240" w:lineRule="auto"/>
        <w:ind w:left="288"/>
        <w:shd w:val="clear" w:fill="F3F4F6"/>
      </w:pPr>
      <w:r>
        <w:rPr>
          <w:rFonts w:ascii="Consolas" w:hAnsi="Consolas"/>
          <w:color w:val="252A33"/>
          <w:sz w:val="18"/>
        </w:rPr>
        <w:t xml:space="preserve">    check-models.mjs         prints model ids for the key</w:t>
      </w:r>
    </w:p>
    <w:p>
      <w:pPr>
        <w:spacing w:after="0" w:line="240" w:lineRule="auto"/>
        <w:ind w:left="288"/>
        <w:shd w:val="clear" w:fill="F3F4F6"/>
      </w:pPr>
      <w:r>
        <w:rPr>
          <w:rFonts w:ascii="Consolas" w:hAnsi="Consolas"/>
          <w:color w:val="252A33"/>
          <w:sz w:val="18"/>
        </w:rPr>
        <w:t xml:space="preserve">    build_report.py          renders REPORT.md to REPORT.docx</w:t>
      </w:r>
    </w:p>
    <w:p>
      <w:pPr>
        <w:spacing w:after="0" w:line="240" w:lineRule="auto"/>
        <w:ind w:left="288"/>
        <w:shd w:val="clear" w:fill="F3F4F6"/>
      </w:pPr>
      <w:r>
        <w:rPr>
          <w:rFonts w:ascii="Consolas" w:hAnsi="Consolas"/>
          <w:color w:val="252A33"/>
          <w:sz w:val="18"/>
        </w:rPr>
        <w:t xml:space="preserve">  docs/images/               cover, diagrams and screenshots</w:t>
      </w:r>
    </w:p>
    <w:p>
      <w:pPr>
        <w:spacing w:after="0" w:line="240" w:lineRule="auto"/>
        <w:ind w:left="288"/>
        <w:shd w:val="clear" w:fill="F3F4F6"/>
      </w:pPr>
      <w:r>
        <w:rPr>
          <w:rFonts w:ascii="Consolas" w:hAnsi="Consolas"/>
          <w:color w:val="252A33"/>
          <w:sz w:val="18"/>
        </w:rPr>
        <w:t xml:space="preserve">  README.md                  setup, deployment and limitations</w:t>
      </w:r>
    </w:p>
    <w:p>
      <w:pPr>
        <w:spacing w:after="0" w:line="240" w:lineRule="auto"/>
        <w:ind w:left="288"/>
        <w:shd w:val="clear" w:fill="F3F4F6"/>
      </w:pPr>
      <w:r>
        <w:rPr>
          <w:rFonts w:ascii="Consolas" w:hAnsi="Consolas"/>
          <w:color w:val="252A33"/>
          <w:sz w:val="18"/>
        </w:rPr>
        <w:t xml:space="preserve">  SUBMISSION.md              entry text and feedback notes</w:t>
      </w:r>
    </w:p>
    <w:p>
      <w:pPr>
        <w:spacing w:after="0" w:line="240" w:lineRule="auto"/>
        <w:ind w:left="288"/>
        <w:shd w:val="clear" w:fill="F3F4F6"/>
      </w:pPr>
      <w:r>
        <w:rPr>
          <w:rFonts w:ascii="Consolas" w:hAnsi="Consolas"/>
          <w:color w:val="252A33"/>
          <w:sz w:val="18"/>
        </w:rPr>
        <w:t xml:space="preserve">  VIDEO_SCRIPT.md            timed demo script</w:t>
      </w:r>
    </w:p>
    <w:p>
      <w:pPr>
        <w:spacing w:after="0" w:line="240" w:lineRule="auto"/>
        <w:ind w:left="288"/>
        <w:shd w:val="clear" w:fill="F3F4F6"/>
      </w:pPr>
      <w:r>
        <w:rPr>
          <w:rFonts w:ascii="Consolas" w:hAnsi="Consolas"/>
          <w:color w:val="252A33"/>
          <w:sz w:val="18"/>
        </w:rPr>
        <w:t xml:space="preserve">  LICENSE                    Apache 2.0</w:t>
      </w:r>
    </w:p>
    <w:p>
      <w:pPr>
        <w:spacing w:after="40"/>
      </w:pPr>
    </w:p>
    <w:p>
      <w:pPr>
        <w:spacing w:before="40" w:after="160"/>
        <w:pBdr>
          <w:bottom w:val="single" w:sz="6" w:space="1" w:color="D3DCE8"/>
        </w:pBdr>
      </w:pPr>
    </w:p>
    <w:p>
      <w:r>
        <w:t>*CallLens is a prototype built during the NVIDIA × Nebius Global AI Hackathon, 28–30 October 2026. All customer, product and policy data in it is fictional sample data.*</w:t>
      </w:r>
    </w:p>
    <w:sectPr w:rsidR="00FC693F" w:rsidRPr="0006063C" w:rsidSect="00034616">
      <w:footerReference w:type="default" r:id="rId9"/>
      <w:pgSz w:w="12240" w:h="15840"/>
      <w:pgMar w:top="1224" w:right="1296" w:bottom="1224"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CallLens · NVIDIA × Nebius Global AI Hackathon · Apache 2.0 · page </w:t>
    </w:r>
    <w:r>
      <w:rPr>
        <w:color w:val="5A5A5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