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360" w:lineRule="auto" w:before="0" w:after="120"/>
      </w:pPr>
      <w:r>
        <w:rPr>
          <w:b/>
          <w:rFonts w:ascii="Times New Roman" w:eastAsia="宋体" w:hAnsi="Times New Roman"/>
          <w:sz w:val="36"/>
          <w:szCs w:val="36"/>
        </w:rPr>
        <w:t xml:space="preserve">证据目录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360" w:lineRule="auto" w:before="0" w:after="120"/>
            </w:pPr>
            <w:r>
              <w:rPr>
                <w:b/>
                <w:rFonts w:ascii="Times New Roman" w:eastAsia="宋体" w:hAnsi="Times New Roman"/>
                <w:sz w:val="24"/>
                <w:szCs w:val="24"/>
              </w:rPr>
              <w:t xml:space="preserve">序号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360" w:lineRule="auto" w:before="0" w:after="120"/>
            </w:pPr>
            <w:r>
              <w:rPr>
                <w:b/>
                <w:rFonts w:ascii="Times New Roman" w:eastAsia="宋体" w:hAnsi="Times New Roman"/>
                <w:sz w:val="24"/>
                <w:szCs w:val="24"/>
              </w:rPr>
              <w:t xml:space="preserve">证据名称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360" w:lineRule="auto" w:before="0" w:after="120"/>
            </w:pPr>
            <w:r>
              <w:rPr>
                <w:b/>
                <w:rFonts w:ascii="Times New Roman" w:eastAsia="宋体" w:hAnsi="Times New Roman"/>
                <w:sz w:val="24"/>
                <w:szCs w:val="24"/>
              </w:rPr>
              <w:t xml:space="preserve">证据来源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360" w:lineRule="auto" w:before="0" w:after="120"/>
            </w:pPr>
            <w:r>
              <w:rPr>
                <w:b/>
                <w:rFonts w:ascii="Times New Roman" w:eastAsia="宋体" w:hAnsi="Times New Roman"/>
                <w:sz w:val="24"/>
                <w:szCs w:val="24"/>
              </w:rPr>
              <w:t xml:space="preserve">证明目的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《北京薇琳医疗美容医院收费单》（单号BL202209180119）1份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原告持有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证明原告于2022年9月18日向被告支付牙齿矫正服务费29,000元，原、被告之间成立医疗服务合同关系。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《支付宝交易流水证明》（编号2026101400085004702623844338330072725628）1份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支付宝支付科技有限公司出具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证明原告孙景峰（公民身份号码220282199405205619）本人于2022年9月18日15时15分通过其支付宝账户向被告支付牙齿矫正服务费29,000元，付款方式为中国邮政储蓄银行储蓄卡（尾号3397），与证据1收费单所载金额、日期及收款方完全一致，足以证明原告系涉案服务费的实际支付人，与本案具有直接利害关系。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原告与主治医生张建峰的微信聊天记录截图6张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原告与张建峰微信聊天记录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证明张建峰系被告接诊医生并代表被告为原告提供矫正服务；证明2026年3月29日仍在调整矫正方案，新牙套仍需复诊佩戴，矫正尚未完成；证明张建峰仅工作日不定期出诊、拒绝周末接诊、明确拒绝继续为原告治疗并限制原告联系，涉案矫正服务实际中断。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原告与被告客服姜琳琳的微信聊天记录截图8张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原告与被告客服微信聊天记录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证明被告确认主治医生已离职近一年，无法更换医生，无法安排周末接诊；证明原告多次提出合理解决方案，但双方协商未果。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张建峰、姜琳琳微信个人资料页截图2张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微信个人资料页面截图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证明聊天记录相对方身份。</w:t>
            </w:r>
          </w:p>
        </w:tc>
      </w:tr>
      <w:tr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被告企业工商登记信息1份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企业信用信息公示/工商登记查询信息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360" w:lineRule="auto" w:before="0" w:after="12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证明被告主体资格、统一社会信用代码、住所地及法定代表人信息。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 w:after="120"/>
      </w:pPr>
    </w:pPrDefault>
  </w:docDefaults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