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jc w:val="center"/>
      </w:pPr>
      <w:r>
        <w:rPr>
          <w:rFonts w:ascii="Times New Roman" w:hAnsi="Times New Roman" w:eastAsia="黑体"/>
          <w:b/>
          <w:sz w:val="32"/>
        </w:rPr>
        <w:t>民事起诉状</w:t>
      </w:r>
    </w:p>
    <w:p>
      <w:pPr>
        <w:spacing w:before="0" w:after="0" w:line="240" w:lineRule="auto"/>
      </w:pPr>
    </w:p>
    <w:p>
      <w:pPr>
        <w:spacing w:before="0" w:after="0" w:line="240" w:lineRule="auto"/>
      </w:pPr>
      <w:r>
        <w:rPr>
          <w:rFonts w:ascii="Times New Roman" w:hAnsi="Times New Roman" w:eastAsia="宋体"/>
          <w:sz w:val="24"/>
        </w:rPr>
        <w:t>案由：房屋租赁合同纠纷</w:t>
      </w:r>
    </w:p>
    <w:p>
      <w:pPr>
        <w:spacing w:before="0" w:after="0" w:line="240" w:lineRule="auto"/>
      </w:pPr>
    </w:p>
    <w:p>
      <w:pPr>
        <w:spacing w:before="0" w:after="0" w:line="240" w:lineRule="auto"/>
      </w:pPr>
      <w:r>
        <w:rPr>
          <w:rFonts w:ascii="Times New Roman" w:hAnsi="Times New Roman" w:eastAsia="黑体"/>
          <w:b/>
          <w:sz w:val="24"/>
        </w:rPr>
        <w:t>一、当事人信息</w:t>
      </w:r>
    </w:p>
    <w:p>
      <w:pPr>
        <w:spacing w:before="0" w:after="0" w:line="240" w:lineRule="auto"/>
      </w:pPr>
    </w:p>
    <w:p>
      <w:pPr>
        <w:spacing w:before="0" w:after="0" w:line="240" w:lineRule="auto"/>
      </w:pPr>
      <w:r>
        <w:rPr>
          <w:rFonts w:ascii="Times New Roman" w:hAnsi="Times New Roman" w:eastAsia="宋体"/>
          <w:sz w:val="24"/>
        </w:rPr>
        <w:t>原告：孙景峰，男，身份证号220282199405205619，联系电话19524603214，住所地/联系地址（现居住地）：北京市石景山区老古城大楼4号楼1层1单元2号。</w:t>
      </w:r>
    </w:p>
    <w:p>
      <w:pPr>
        <w:spacing w:before="0" w:after="0" w:line="240" w:lineRule="auto"/>
      </w:pPr>
    </w:p>
    <w:p>
      <w:pPr>
        <w:spacing w:before="0" w:after="0" w:line="240" w:lineRule="auto"/>
      </w:pPr>
      <w:r>
        <w:rPr>
          <w:rFonts w:ascii="Times New Roman" w:hAnsi="Times New Roman" w:eastAsia="宋体"/>
          <w:sz w:val="24"/>
        </w:rPr>
        <w:t>被告：北京自如住房租赁有限公司，统一社会信用代码91110228MA001HEP2E，住所地北京市密云区滨河路178号B座516室，联系电话400-100-1111。</w:t>
      </w:r>
    </w:p>
    <w:p>
      <w:pPr>
        <w:spacing w:before="0" w:after="0" w:line="240" w:lineRule="auto"/>
      </w:pPr>
    </w:p>
    <w:p>
      <w:pPr>
        <w:spacing w:before="0" w:after="0" w:line="240" w:lineRule="auto"/>
      </w:pPr>
      <w:r>
        <w:rPr>
          <w:rFonts w:ascii="Times New Roman" w:hAnsi="Times New Roman" w:eastAsia="黑体"/>
          <w:b/>
          <w:sz w:val="24"/>
        </w:rPr>
        <w:t>二、诉讼请求</w:t>
      </w:r>
    </w:p>
    <w:p>
      <w:pPr>
        <w:spacing w:before="0" w:after="0" w:line="240" w:lineRule="auto"/>
      </w:pPr>
    </w:p>
    <w:p>
      <w:pPr>
        <w:spacing w:before="0" w:after="0" w:line="240" w:lineRule="auto"/>
      </w:pPr>
      <w:r>
        <w:rPr>
          <w:rFonts w:ascii="Times New Roman" w:hAnsi="Times New Roman" w:eastAsia="宋体"/>
          <w:sz w:val="24"/>
        </w:rPr>
        <w:t>1. 判令被告于判决生效之日起7日内向原告出具并送达加盖公章的书面致歉及情况说明，就其在涉案房屋租赁合同订立、带看、沟通及履行过程中，针对涉案房源以“古城站步行约530m”“离地铁近”等交通条件作为重要卖点进行展示和推荐时，未就古城地铁站封闭、停运等足以显著影响通勤便利的重要事项向原告履行充分提示和说明义务的行为向原告致歉，并说明相关情况。</w:t>
      </w:r>
    </w:p>
    <w:p>
      <w:pPr>
        <w:spacing w:before="0" w:after="0" w:line="240" w:lineRule="auto"/>
      </w:pPr>
    </w:p>
    <w:p>
      <w:pPr>
        <w:spacing w:before="0" w:after="0" w:line="240" w:lineRule="auto"/>
      </w:pPr>
      <w:r>
        <w:rPr>
          <w:rFonts w:ascii="Times New Roman" w:hAnsi="Times New Roman" w:eastAsia="宋体"/>
          <w:sz w:val="24"/>
        </w:rPr>
        <w:t>2. 判令被告于判决生效之日起7日内在涉案房屋租赁合同履行期间为原告更换专属管家，由除林鸿宇之外的其他工作人员负责与原告就涉案房屋租赁合同履行、居住服务、报修协调及后续沟通事项进行对接，并书面告知新管家的姓名、工号及联系方式。</w:t>
      </w:r>
    </w:p>
    <w:p>
      <w:pPr>
        <w:spacing w:before="0" w:after="0" w:line="240" w:lineRule="auto"/>
      </w:pPr>
    </w:p>
    <w:p>
      <w:pPr>
        <w:spacing w:before="0" w:after="0" w:line="240" w:lineRule="auto"/>
      </w:pPr>
      <w:r>
        <w:rPr>
          <w:rFonts w:ascii="Times New Roman" w:hAnsi="Times New Roman" w:eastAsia="宋体"/>
          <w:sz w:val="24"/>
        </w:rPr>
        <w:t>3. 判令被告赔偿原告因其未充分提示古城地铁站封闭、停运风险所造成的损失人民币1元。</w:t>
      </w:r>
    </w:p>
    <w:p>
      <w:pPr>
        <w:spacing w:before="0" w:after="0" w:line="240" w:lineRule="auto"/>
      </w:pPr>
    </w:p>
    <w:p>
      <w:pPr>
        <w:spacing w:before="0" w:after="0" w:line="240" w:lineRule="auto"/>
      </w:pPr>
      <w:r>
        <w:rPr>
          <w:rFonts w:ascii="Times New Roman" w:hAnsi="Times New Roman" w:eastAsia="宋体"/>
          <w:sz w:val="24"/>
        </w:rPr>
        <w:t>4. 判令被告承担本案全部诉讼费用。</w:t>
      </w:r>
    </w:p>
    <w:p>
      <w:pPr>
        <w:spacing w:before="0" w:after="0" w:line="240" w:lineRule="auto"/>
      </w:pPr>
    </w:p>
    <w:p>
      <w:pPr>
        <w:spacing w:before="0" w:after="0" w:line="240" w:lineRule="auto"/>
      </w:pPr>
      <w:r>
        <w:rPr>
          <w:rFonts w:ascii="Times New Roman" w:hAnsi="Times New Roman" w:eastAsia="黑体"/>
          <w:b/>
          <w:sz w:val="24"/>
        </w:rPr>
        <w:t>三、事实与理由</w:t>
      </w:r>
    </w:p>
    <w:p>
      <w:pPr>
        <w:spacing w:before="0" w:after="0" w:line="240" w:lineRule="auto"/>
      </w:pPr>
    </w:p>
    <w:p>
      <w:pPr>
        <w:spacing w:before="0" w:after="0" w:line="240" w:lineRule="auto"/>
      </w:pPr>
      <w:r>
        <w:rPr>
          <w:rFonts w:ascii="Times New Roman" w:hAnsi="Times New Roman" w:eastAsia="宋体"/>
          <w:sz w:val="24"/>
        </w:rPr>
        <w:t>1. 原告通过自如平台租赁位于北京市石景山区的房源，并与被告签订《北京市住房租赁合同（示范文本）》，形成持续履行中的房屋租赁合同关系。合同编号、租期、费用等信息详见证据1。原告目前仍在该房源居住，未主张解除合同或退租，现仅就被告在合同订立、履行过程中的提示说明义务及租住服务管理义务主张权利救济。</w:t>
      </w:r>
    </w:p>
    <w:p>
      <w:pPr>
        <w:spacing w:before="0" w:after="0" w:line="240" w:lineRule="auto"/>
      </w:pPr>
    </w:p>
    <w:p>
      <w:pPr>
        <w:spacing w:before="0" w:after="0" w:line="240" w:lineRule="auto"/>
      </w:pPr>
      <w:r>
        <w:rPr>
          <w:rFonts w:ascii="Times New Roman" w:hAnsi="Times New Roman" w:eastAsia="宋体"/>
          <w:sz w:val="24"/>
        </w:rPr>
        <w:t>2. 涉案房源详情页明确将“古城（地铁站）步行约530m”作为卖点，并标注“离地铁近”等标签。原告与被告工作人员沟通过程中，对方亦围绕“1号线/6号线通勤便利”进行推荐与引导，足以证明“地铁通勤便利”属于原告选择涉案房源的重要决策因素，被告亦将其作为促成合同订立的重要内容。涉事管家/经办人为林鸿宇，信息卡号0368993，其在签约及沟通中与原告对接，亦在后续合同履行阶段为原告提供相关居住服务。</w:t>
      </w:r>
    </w:p>
    <w:p>
      <w:pPr>
        <w:spacing w:before="0" w:after="0" w:line="240" w:lineRule="auto"/>
      </w:pPr>
    </w:p>
    <w:p>
      <w:pPr>
        <w:spacing w:before="0" w:after="0" w:line="240" w:lineRule="auto"/>
      </w:pPr>
      <w:r>
        <w:rPr>
          <w:rFonts w:ascii="Times New Roman" w:hAnsi="Times New Roman" w:eastAsia="宋体"/>
          <w:sz w:val="24"/>
        </w:rPr>
        <w:t>3. 原告签约并入住后不久，涉案房源对应的古城地铁站出现停运、封闭情形。依据公开渠道信息及地图页面提示，自2026年2月15日起古城站停运。停运前，原告步行至古城站约527米，预计约7分钟到达。停运后，原告需改为前往其他可用地铁站，例如前往苹果园站自行车约2.8公里，预计约16分钟；前往玉泉路站自行车约6.1公里，预计约31分钟。同时，原告通勤需额外增加绕行，综合导致原告每次乘坐地铁通勤时间成本显著上升。</w:t>
      </w:r>
    </w:p>
    <w:p>
      <w:pPr>
        <w:spacing w:before="0" w:after="0" w:line="240" w:lineRule="auto"/>
      </w:pPr>
    </w:p>
    <w:p>
      <w:pPr>
        <w:spacing w:before="0" w:after="0" w:line="240" w:lineRule="auto"/>
      </w:pPr>
      <w:r>
        <w:rPr>
          <w:rFonts w:ascii="Times New Roman" w:hAnsi="Times New Roman" w:eastAsia="宋体"/>
          <w:sz w:val="24"/>
        </w:rPr>
        <w:t>4. 被告作为专业住房租赁企业及平台经营者，在以“临近地铁”作为核心卖点进行展示、推介并据此促成合同订立时，应当遵循诚实信用原则，在合同订立和履行过程中就足以显著影响承租人居住、通勤便利的重要事项履行充分提示和说明义务。但被告在房源展示、带看、沟通及签约过程中未对上述风险作出提示，致使原告在重大信息不充分的情况下作出交易决定，并在合同履行过程中持续承担通勤不便等不利后果。</w:t>
      </w:r>
    </w:p>
    <w:p>
      <w:pPr>
        <w:spacing w:before="0" w:after="0" w:line="240" w:lineRule="auto"/>
      </w:pPr>
    </w:p>
    <w:p>
      <w:pPr>
        <w:spacing w:before="0" w:after="0" w:line="240" w:lineRule="auto"/>
      </w:pPr>
      <w:r>
        <w:rPr>
          <w:rFonts w:ascii="Times New Roman" w:hAnsi="Times New Roman" w:eastAsia="宋体"/>
          <w:sz w:val="24"/>
        </w:rPr>
        <w:t>5. 此外，涉事管家林鸿宇系原告签约及后续沟通的直接对接人员。其在涉案房源交通条件介绍、风险提示及后续沟通处理中存在未充分说明、与原告理解明显不一致等情形，已导致原告对其继续作为专属管家提供服务丧失合理信任。为保障涉案房屋租赁合同后续履行的顺畅性、避免矛盾进一步激化，原告请求被告在合同履行期间更换专属管家并完成交接，系要求被告调整合同履行中的服务对接人员，并非要求人民法院对涉事管家作出内部处分，具有明确的履行内容、期限及现实必要性。</w:t>
      </w:r>
    </w:p>
    <w:p>
      <w:pPr>
        <w:spacing w:before="0" w:after="0" w:line="240" w:lineRule="auto"/>
      </w:pPr>
    </w:p>
    <w:p>
      <w:pPr>
        <w:spacing w:before="0" w:after="0" w:line="240" w:lineRule="auto"/>
      </w:pPr>
      <w:r>
        <w:rPr>
          <w:rFonts w:ascii="Times New Roman" w:hAnsi="Times New Roman" w:eastAsia="宋体"/>
          <w:sz w:val="24"/>
        </w:rPr>
        <w:t>6. 原告提起本案并非追求高额物质赔偿，而是要求被告就其在涉案房屋租赁合同订立及履行过程中的提示说明义务瑕疵和服务管理瑕疵承担相应民事责任。原告提出的书面致歉及情况说明、更换管家及象征性赔偿请求，均直接针对双方房屋租赁合同履行中的具体争议和具体义务，其中更换管家的请求亦仅涉及合同履行期间服务接口的变更，内容明确，具有可执行性，依法应予支持。</w:t>
      </w:r>
    </w:p>
    <w:p>
      <w:pPr>
        <w:spacing w:before="0" w:after="0" w:line="240" w:lineRule="auto"/>
      </w:pPr>
    </w:p>
    <w:p>
      <w:pPr>
        <w:spacing w:before="0" w:after="0" w:line="240" w:lineRule="auto"/>
        <w:ind w:firstLine="480"/>
      </w:pPr>
      <w:r>
        <w:rPr>
          <w:rFonts w:ascii="Times New Roman" w:hAnsi="Times New Roman" w:eastAsia="宋体"/>
          <w:sz w:val="24"/>
        </w:rPr>
        <w:t>综上，为维护原告合法权益，依据相关法律规定，特向贵院提起诉讼，请依法判如所请。</w:t>
      </w:r>
    </w:p>
    <w:p>
      <w:pPr>
        <w:spacing w:before="0" w:after="0" w:line="240" w:lineRule="auto"/>
      </w:pPr>
    </w:p>
    <w:p>
      <w:pPr>
        <w:spacing w:before="0" w:after="0" w:line="240" w:lineRule="auto"/>
      </w:pPr>
      <w:r>
        <w:rPr>
          <w:rFonts w:ascii="Times New Roman" w:hAnsi="Times New Roman" w:eastAsia="黑体"/>
          <w:b/>
          <w:sz w:val="24"/>
        </w:rPr>
        <w:t>四、证据目录</w:t>
      </w:r>
    </w:p>
    <w:p>
      <w:pPr>
        <w:spacing w:before="0" w:after="0" w:line="240" w:lineRule="auto"/>
      </w:pPr>
    </w:p>
    <w:p>
      <w:pPr>
        <w:spacing w:before="0" w:after="0" w:line="240" w:lineRule="auto"/>
      </w:pPr>
      <w:r>
        <w:rPr>
          <w:rFonts w:ascii="Times New Roman" w:hAnsi="Times New Roman" w:eastAsia="宋体"/>
          <w:sz w:val="24"/>
        </w:rPr>
        <w:t>1. 《北京市住房租赁合同（示范文本）》及附件，用于证明合同关系、合同编号、被告主体信息、经办/管家信息及争议解决条款等事实。</w:t>
      </w:r>
    </w:p>
    <w:p>
      <w:pPr>
        <w:spacing w:before="0" w:after="0" w:line="240" w:lineRule="auto"/>
      </w:pPr>
      <w:r>
        <w:rPr>
          <w:rFonts w:ascii="Times New Roman" w:hAnsi="Times New Roman" w:eastAsia="宋体"/>
          <w:sz w:val="24"/>
        </w:rPr>
        <w:t>对应文件：自如房屋租赁合同.pdf</w:t>
      </w:r>
    </w:p>
    <w:p>
      <w:pPr>
        <w:spacing w:before="0" w:after="0" w:line="240" w:lineRule="auto"/>
      </w:pPr>
    </w:p>
    <w:p>
      <w:pPr>
        <w:spacing w:before="0" w:after="0" w:line="240" w:lineRule="auto"/>
      </w:pPr>
      <w:r>
        <w:rPr>
          <w:rFonts w:ascii="Times New Roman" w:hAnsi="Times New Roman" w:eastAsia="宋体"/>
          <w:sz w:val="24"/>
        </w:rPr>
        <w:t>2. 涉案房源详情页截图，用于证明房源展示中存在“古城地铁站步行约530m”“离地铁近”等交通卖点。</w:t>
      </w:r>
    </w:p>
    <w:p>
      <w:pPr>
        <w:spacing w:before="0" w:after="0" w:line="240" w:lineRule="auto"/>
      </w:pPr>
      <w:r>
        <w:rPr>
          <w:rFonts w:ascii="Times New Roman" w:hAnsi="Times New Roman" w:eastAsia="宋体"/>
          <w:sz w:val="24"/>
        </w:rPr>
        <w:t>对应文件：房源宣传页.jpg、我的租房页面.jpg</w:t>
      </w:r>
    </w:p>
    <w:p>
      <w:pPr>
        <w:spacing w:before="0" w:after="0" w:line="240" w:lineRule="auto"/>
      </w:pPr>
    </w:p>
    <w:p>
      <w:pPr>
        <w:spacing w:before="0" w:after="0" w:line="240" w:lineRule="auto"/>
      </w:pPr>
      <w:r>
        <w:rPr>
          <w:rFonts w:ascii="Times New Roman" w:hAnsi="Times New Roman" w:eastAsia="宋体"/>
          <w:sz w:val="24"/>
        </w:rPr>
        <w:t>3. 与被告工作人员聊天记录截图，用于证明被告围绕地铁通勤便利进行推荐与引导，以及涉事管家身份信息。</w:t>
      </w:r>
    </w:p>
    <w:p>
      <w:pPr>
        <w:spacing w:before="0" w:after="0" w:line="240" w:lineRule="auto"/>
      </w:pPr>
      <w:r>
        <w:rPr>
          <w:rFonts w:ascii="Times New Roman" w:hAnsi="Times New Roman" w:eastAsia="宋体"/>
          <w:sz w:val="24"/>
        </w:rPr>
        <w:t>对应文件：聊天记录1.png、聊天记录2.png、聊天记录3.png</w:t>
      </w:r>
    </w:p>
    <w:p>
      <w:pPr>
        <w:spacing w:before="0" w:after="0" w:line="240" w:lineRule="auto"/>
      </w:pPr>
    </w:p>
    <w:p>
      <w:pPr>
        <w:spacing w:before="0" w:after="0" w:line="240" w:lineRule="auto"/>
      </w:pPr>
      <w:r>
        <w:rPr>
          <w:rFonts w:ascii="Times New Roman" w:hAnsi="Times New Roman" w:eastAsia="宋体"/>
          <w:sz w:val="24"/>
        </w:rPr>
        <w:t>4. 通勤影响截图，用于证明古城站停运前后原告通勤距离、时间明显变化。</w:t>
      </w:r>
    </w:p>
    <w:p>
      <w:pPr>
        <w:spacing w:before="0" w:after="0" w:line="240" w:lineRule="auto"/>
      </w:pPr>
      <w:r>
        <w:rPr>
          <w:rFonts w:ascii="Times New Roman" w:hAnsi="Times New Roman" w:eastAsia="宋体"/>
          <w:sz w:val="24"/>
        </w:rPr>
        <w:t>对应文件：对我通勤的影响1.png、对我通勤的影响2.png、对我通勤的影响3.png</w:t>
      </w:r>
    </w:p>
    <w:p>
      <w:pPr>
        <w:spacing w:before="0" w:after="0" w:line="240" w:lineRule="auto"/>
      </w:pPr>
    </w:p>
    <w:p>
      <w:pPr>
        <w:spacing w:before="0" w:after="0" w:line="240" w:lineRule="auto"/>
      </w:pPr>
      <w:r>
        <w:rPr>
          <w:rFonts w:ascii="Times New Roman" w:hAnsi="Times New Roman" w:eastAsia="宋体"/>
          <w:sz w:val="24"/>
        </w:rPr>
        <w:t>5. 北京市政府门户网站“首都之窗”信息提示页面打印件或截图《地铁1号线古城站、八宝山站将于2月15日起临时封站停运》，用于证明封站事实及时间安排。</w:t>
      </w:r>
    </w:p>
    <w:p>
      <w:pPr>
        <w:spacing w:before="0" w:after="0" w:line="240" w:lineRule="auto"/>
      </w:pPr>
      <w:r>
        <w:rPr>
          <w:rFonts w:ascii="Times New Roman" w:hAnsi="Times New Roman" w:eastAsia="宋体"/>
          <w:sz w:val="24"/>
        </w:rPr>
        <w:t>链接：https://www.beijing.gov.cn/fuwu/bmfw/sy/jrts/202602/t20260209_4503352.html</w:t>
      </w:r>
    </w:p>
    <w:p>
      <w:pPr>
        <w:spacing w:before="0" w:after="0" w:line="240" w:lineRule="auto"/>
      </w:pPr>
    </w:p>
    <w:p>
      <w:pPr>
        <w:spacing w:before="0" w:after="0" w:line="240" w:lineRule="auto"/>
      </w:pPr>
      <w:r>
        <w:rPr>
          <w:rFonts w:ascii="Times New Roman" w:hAnsi="Times New Roman" w:eastAsia="宋体"/>
          <w:sz w:val="24"/>
        </w:rPr>
        <w:t>6. 被告工商信息查询截图，用于证明被告主体身份信息。</w:t>
      </w:r>
    </w:p>
    <w:p>
      <w:pPr>
        <w:spacing w:before="0" w:after="0" w:line="240" w:lineRule="auto"/>
      </w:pPr>
      <w:r>
        <w:rPr>
          <w:rFonts w:ascii="Times New Roman" w:hAnsi="Times New Roman" w:eastAsia="宋体"/>
          <w:sz w:val="24"/>
        </w:rPr>
        <w:t>对应文件：被告工商信息查询截图.png</w:t>
      </w:r>
    </w:p>
    <w:p>
      <w:pPr>
        <w:spacing w:before="0" w:after="0" w:line="240" w:lineRule="auto"/>
      </w:pPr>
    </w:p>
    <w:p>
      <w:pPr>
        <w:spacing w:before="0" w:after="0" w:line="240" w:lineRule="auto"/>
      </w:pPr>
      <w:r>
        <w:rPr>
          <w:rFonts w:ascii="Times New Roman" w:hAnsi="Times New Roman" w:eastAsia="黑体"/>
          <w:b/>
          <w:sz w:val="24"/>
        </w:rPr>
        <w:t>五、管辖与送达</w:t>
      </w:r>
    </w:p>
    <w:p>
      <w:pPr>
        <w:spacing w:before="0" w:after="0" w:line="240" w:lineRule="auto"/>
      </w:pPr>
    </w:p>
    <w:p>
      <w:pPr>
        <w:spacing w:before="0" w:after="0" w:line="240" w:lineRule="auto"/>
        <w:ind w:firstLine="480"/>
      </w:pPr>
      <w:r>
        <w:rPr>
          <w:rFonts w:ascii="Times New Roman" w:hAnsi="Times New Roman" w:eastAsia="宋体"/>
          <w:sz w:val="24"/>
        </w:rPr>
        <w:t>涉案房屋位于北京市石景山区，且合同争议解决条款约定依法向房屋所在地人民法院起诉，故本案由北京市石景山区人民法院管辖。原告同意依合同约定及法律规定接受电子送达。</w:t>
      </w:r>
    </w:p>
    <w:p>
      <w:pPr>
        <w:spacing w:before="0" w:after="0" w:line="240" w:lineRule="auto"/>
      </w:pPr>
    </w:p>
    <w:p>
      <w:pPr>
        <w:spacing w:before="0" w:after="0" w:line="240" w:lineRule="auto"/>
        <w:jc w:val="left"/>
      </w:pPr>
      <w:r>
        <w:rPr>
          <w:rFonts w:ascii="Times New Roman" w:hAnsi="Times New Roman" w:eastAsia="宋体"/>
          <w:sz w:val="24"/>
        </w:rPr>
        <w:t>此致</w:t>
      </w:r>
    </w:p>
    <w:p>
      <w:pPr>
        <w:spacing w:before="0" w:after="0" w:line="240" w:lineRule="auto"/>
      </w:pPr>
    </w:p>
    <w:p>
      <w:pPr>
        <w:spacing w:before="0" w:after="0" w:line="240" w:lineRule="auto"/>
        <w:jc w:val="left"/>
      </w:pPr>
      <w:r>
        <w:rPr>
          <w:rFonts w:ascii="Times New Roman" w:hAnsi="Times New Roman" w:eastAsia="宋体"/>
          <w:sz w:val="24"/>
        </w:rPr>
        <w:t>北京市石景山区人民法院</w:t>
      </w:r>
    </w:p>
    <w:p>
      <w:pPr>
        <w:spacing w:before="0" w:after="0" w:line="240" w:lineRule="auto"/>
      </w:pPr>
    </w:p>
    <w:p>
      <w:pPr>
        <w:spacing w:before="0" w:after="0" w:line="240" w:lineRule="auto"/>
        <w:jc w:val="right"/>
      </w:pPr>
      <w:r>
        <w:rPr>
          <w:rFonts w:ascii="Times New Roman" w:hAnsi="Times New Roman" w:eastAsia="宋体"/>
          <w:sz w:val="24"/>
        </w:rPr>
        <w:t>具状人（原告）：孙景峰</w:t>
      </w:r>
    </w:p>
    <w:p>
      <w:pPr>
        <w:spacing w:before="0" w:after="0" w:line="240" w:lineRule="auto"/>
      </w:pPr>
    </w:p>
    <w:p>
      <w:pPr>
        <w:spacing w:before="0" w:after="0" w:line="240" w:lineRule="auto"/>
        <w:jc w:val="right"/>
      </w:pPr>
      <w:r>
        <w:rPr>
          <w:rFonts w:ascii="Times New Roman" w:hAnsi="Times New Roman" w:eastAsia="宋体"/>
          <w:sz w:val="24"/>
        </w:rPr>
        <w:t>日期： 年 月 日</w:t>
      </w:r>
    </w:p>
    <w:sectPr w:rsidR="00FC693F" w:rsidRPr="0006063C" w:rsidSect="00034616">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