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1"/>
      </w:pPr>
      <w:r>
        <w:t xml:space="preserve">01 基础代码生成</w:t>
      </w:r>
    </w:p>
    <w:p>
      <w:r>
        <w:t xml:space="preserve">apitest框架可根据swagger接口文档生成部分接口及测试代码, 依赖swagger2.0文档,能够大大简化测试开发流程</w:t>
      </w:r>
    </w:p>
    <w:p/>
    <w:p>
      <w:r>
        <w:t xml:space="preserve">以下流程以nebula项目为例,</w:t>
      </w:r>
      <w:hyperlink w:history="1" r:id="rIdhnmrdb_czcz17kctb7d3-">
        <w:r>
          <w:rPr>
            <w:rStyle w:val="Hyperlink"/>
          </w:rPr>
          <w:t xml:space="preserve">接口文档地址</w:t>
        </w:r>
      </w:hyperlink>
    </w:p>
    <w:p/>
    <w:p>
      <w:pPr>
        <w:pStyle w:val="Heading1"/>
      </w:pPr>
      <w:r>
        <w:t xml:space="preserve">创建项目目录</w:t>
      </w:r>
    </w:p>
    <w:p>
      <w:r>
        <w:t xml:space="preserve">在apitest/data/swagger目录下创建存放swagger的文件目录, 这里以nebula_final为例</w:t>
      </w:r>
    </w:p>
    <w:p>
      <w:pPr>
        <w:pStyle w:val="Heading1"/>
      </w:pPr>
      <w:r>
        <w:t xml:space="preserve">swagger.json文件下载</w:t>
      </w:r>
    </w:p>
    <w:p>
      <w:r>
        <w:rPr>
          <w:strike/>
        </w:rPr>
        <w:t xml:space="preserve">方法一: 手动,通用方法   建议使用方法二 自动更新</w:t>
      </w:r>
    </w:p>
    <w:p>
      <w:r>
        <w:rPr>
          <w:strike/>
        </w:rPr>
        <w:t xml:space="preserve">下载swagger.json文件,保存到apitest/data/swagger/&lt;项目名称&gt;/目录下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2152183" cy="2071688"/>
            <wp:effectExtent b="0" l="0" r="0" t="0"/>
            <wp:docPr id="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183" cy="207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方法二: 自动更新</w:t>
      </w:r>
    </w:p>
    <w:tbl>
      <w:tblPr>
        <w:tblW w:type="auto" w:w="100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500"/>
        <w:gridCol w:w="1500"/>
      </w:tblGrid>
      <w:tr>
        <w:tc>
          <w:tcPr>
            <w:tcW w:type="dxa" w:w="1500"/>
            <w:gridSpan w:val="1"/>
            <w:shd w:fill="F5F8FB" w:color="auto" w:val="clear"/>
          </w:tcPr>
          <w:p>
            <w:r>
              <w:br/>
            </w:r>
          </w:p>
        </w:tc>
        <w:tc>
          <w:tcPr>
            <w:tcW w:type="dxa" w:w="1500"/>
            <w:gridSpan w:val="1"/>
            <w:shd w:fill="F5F8FB" w:color="auto" w:val="clear"/>
          </w:tcPr>
          <w:p>
            <w:r>
              <w:t xml:space="preserve">支持的访问地址</w:t>
            </w:r>
          </w:p>
        </w:tc>
      </w:tr>
      <w:tr>
        <w:tc>
          <w:tcPr>
            <w:tcW w:type="dxa" w:w="1500"/>
            <w:gridSpan w:val="1"/>
          </w:tcPr>
          <w:p>
            <w:r>
              <w:t xml:space="preserve">1</w:t>
            </w:r>
          </w:p>
        </w:tc>
        <w:tc>
          <w:tcPr>
            <w:tcW w:type="dxa" w:w="1500"/>
            <w:gridSpan w:val="1"/>
          </w:tcPr>
          <w:p>
            <w:r>
              <w:t xml:space="preserve">不需要鉴权的http协议的swagger地址</w:t>
            </w:r>
          </w:p>
        </w:tc>
      </w:tr>
      <w:tr>
        <w:tc>
          <w:tcPr>
            <w:tcW w:type="dxa" w:w="1500"/>
            <w:gridSpan w:val="1"/>
          </w:tcPr>
          <w:p>
            <w:r>
              <w:t xml:space="preserve">2</w:t>
            </w:r>
          </w:p>
        </w:tc>
        <w:tc>
          <w:tcPr>
            <w:tcW w:type="dxa" w:w="1500"/>
            <w:gridSpan w:val="1"/>
          </w:tcPr>
          <w:p>
            <w:r>
              <w:t xml:space="preserve">公司内gitlab代码库中的swagger地址</w:t>
            </w:r>
          </w:p>
        </w:tc>
      </w:tr>
      <w:tr>
        <w:tc>
          <w:tcPr>
            <w:tcW w:type="dxa" w:w="1500"/>
            <w:gridSpan w:val="1"/>
          </w:tcPr>
          <w:p>
            <w:r>
              <w:t xml:space="preserve">3</w:t>
            </w:r>
          </w:p>
        </w:tc>
        <w:tc>
          <w:tcPr>
            <w:tcW w:type="dxa" w:w="1500"/>
            <w:gridSpan w:val="1"/>
          </w:tcPr>
          <w:p>
            <w:r>
              <w:t xml:space="preserve">公司内Confluence中的swagger地址</w:t>
            </w:r>
          </w:p>
        </w:tc>
      </w:tr>
    </w:tbl>
    <w:p>
      <w:r>
        <w:t xml:space="preserve"/>
      </w:r>
    </w:p>
    <w:p>
      <w:pPr>
        <w:pStyle w:val="ListParagraph"/>
        <w:numPr>
          <w:ilvl w:val="0"/>
          <w:numId w:val="26"/>
        </w:numPr>
      </w:pPr>
      <w:r>
        <w:t xml:space="preserve">在apitest/data/swagger/nebula_final目录下添加remote_swagger.csv文件, 该文件下中记录swgger文件的地址, 如下图: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5966460" cy="779434"/>
            <wp:effectExtent b="0" l="0" r="0" t="0"/>
            <wp:docPr id="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77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7"/>
        </w:numPr>
      </w:pPr>
      <w:r>
        <w:t xml:space="preserve">执行如下命令, 拉取最新的swagger.json文件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 python main.py update_swagger_json -d nebula_final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5966460" cy="880592"/>
            <wp:effectExtent b="0" l="0" r="0" t="0"/>
            <wp:docPr id="1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8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备注1： 该方法可以提示swagger文档是否有更新</w:t>
      </w:r>
    </w:p>
    <w:p>
      <w:r>
        <w:t xml:space="preserve">备注2： 该方法目前已经支持win及linux系统</w:t>
      </w:r>
    </w:p>
    <w:p>
      <w:r>
        <w:rPr>
          <w:b/>
          <w:bCs/>
        </w:rPr>
        <w:t xml:space="preserve">通过以上两种方法的一种, 即可获取swgger.json文件</w:t>
      </w:r>
    </w:p>
    <w:p/>
    <w:p>
      <w:pPr>
        <w:pStyle w:val="Heading1"/>
      </w:pPr>
      <w:r>
        <w:t xml:space="preserve">配置hostmap (可选)</w:t>
      </w:r>
    </w:p>
    <w:p>
      <w:r>
        <w:t xml:space="preserve">用于配置接口的host, url中的前缀</w:t>
      </w:r>
    </w:p>
    <w:p>
      <w:r>
        <w:t xml:space="preserve">通常的一个url路径在apitest中会被拆解如下:</w:t>
      </w:r>
    </w:p>
    <w:p>
      <w:r>
        <w:t xml:space="preserve">url: http(s)://&lt;host&gt;:&lt;port&gt;/&lt;</w:t>
      </w:r>
      <w:r>
        <w:rPr>
          <w:color w:val="333333"/>
        </w:rPr>
        <w:t xml:space="preserve">suffix&gt;/path</w:t>
      </w:r>
    </w:p>
    <w:p>
      <w:r>
        <w:rPr>
          <w:color w:val="333333"/>
        </w:rPr>
        <w:t xml:space="preserve">swagger文档中通常只是标明path路径, 而host, port, suffix需要根据实际的部署的服务,或gateway进行拼接</w:t>
      </w:r>
    </w:p>
    <w:p>
      <w:r>
        <w:rPr>
          <w:color w:val="333333"/>
        </w:rPr>
        <w:t xml:space="preserve">由此,引出hostmap的功能, 通过该文件的配置,可以根据不同service进行单独的url配置</w:t>
      </w:r>
    </w:p>
    <w:p>
      <w:r>
        <w:rPr>
          <w:color w:val="333333"/>
        </w:rPr>
        <w:t xml:space="preserve">配置方法如下:</w:t>
      </w:r>
    </w:p>
    <w:p>
      <w:pPr>
        <w:pStyle w:val="ListParagraph"/>
        <w:numPr>
          <w:ilvl w:val="0"/>
          <w:numId w:val="28"/>
        </w:numPr>
      </w:pPr>
      <w:r>
        <w:t xml:space="preserve">在apitest/data/swagger/nebula_final目录下添加host_map.csv文件, 如下图: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5966460" cy="1865959"/>
            <wp:effectExtent b="0" l="0" r="0" t="0"/>
            <wp:docPr id="1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8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9"/>
        </w:numPr>
      </w:pPr>
      <w:r>
        <w:t xml:space="preserve">当不添加host_map.csv文件的时候, 不会生效</w:t>
      </w:r>
    </w:p>
    <w:p>
      <w:pPr>
        <w:pStyle w:val="ListParagraph"/>
        <w:numPr>
          <w:ilvl w:val="0"/>
          <w:numId w:val="29"/>
        </w:numPr>
      </w:pPr>
      <w:r>
        <w:t xml:space="preserve">当host_map.csv文件中未填加的服务, 不会生效</w:t>
      </w:r>
    </w:p>
    <w:p>
      <w:pPr>
        <w:pStyle w:val="ListParagraph"/>
        <w:numPr>
          <w:ilvl w:val="0"/>
          <w:numId w:val="29"/>
        </w:numPr>
      </w:pPr>
      <w:r>
        <w:t xml:space="preserve">当host_map.csv文件中的服务名为all的时候, 该json下的接口都会生效</w:t>
      </w:r>
    </w:p>
    <w:p>
      <w:r>
        <w:t xml:space="preserve">备注: 根据以往的项目经验,目前只支持一级结构的json文件, 后续可根据实际项目进行代码的适配</w:t>
      </w:r>
    </w:p>
    <w:p/>
    <w:p>
      <w:pPr>
        <w:pStyle w:val="Heading1"/>
      </w:pPr>
      <w:r>
        <w:t xml:space="preserve">配置case_map(可选)</w:t>
      </w:r>
    </w:p>
    <w:p>
      <w:r>
        <w:t xml:space="preserve">用于拆分子模块测试用例的目录，比如belt下分为console，ids，ras三个模块，为了将测试用例分别放在各自的目录下，配置该文件即可：</w:t>
      </w:r>
    </w:p>
    <w:p>
      <w:r>
        <w:t xml:space="preserve">格式为 “模块名, 子模块名” 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# test_case目录分类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# ras-manager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ras,device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ras,rasManager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ras,botManager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ras,rasCluster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# ids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ids,face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ids,identity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ids,ocr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# ras-runtime-proxy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runtimeProxy, ipsApplet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runtimeProxy, ipsOcr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runtimeProxy, viperApplet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runtimeProxy, viperOcr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#runtimeProxy, sfd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# aide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aide, adapter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aide, viperOpenApi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# console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console,auth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console,notification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console,notificationInternal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console,user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console,bill</w:t>
      </w:r>
    </w:p>
    <w:p/>
    <w:p>
      <w:pPr>
        <w:pStyle w:val="Heading1"/>
      </w:pPr>
      <w:r>
        <w:t xml:space="preserve">配置interface_list.csv</w:t>
      </w:r>
    </w:p>
    <w:p>
      <w:r>
        <w:t xml:space="preserve">1)查看接口信息：</w:t>
      </w:r>
    </w:p>
    <w:p>
      <w:r>
        <w:t xml:space="preserve">python main.py list_swagger -d belt</w:t>
      </w:r>
    </w:p>
    <w:p>
      <w:r>
        <w:t xml:space="preserve">２）找到新增的接口列表，将其添加到interface_list.csv即可</w:t>
      </w:r>
    </w:p>
    <w:p/>
    <w:p>
      <w:pPr>
        <w:pStyle w:val="Heading1"/>
      </w:pPr>
      <w:r>
        <w:t xml:space="preserve">生成代码</w:t>
      </w:r>
    </w:p>
    <w:p>
      <w:r>
        <w:t xml:space="preserve">当放好swagger.json文件后, 执行如下命令, 即可生成代码</w:t>
      </w:r>
    </w:p>
    <w:p>
      <w:pPr>
        <w:pStyle w:val="Code"/>
        <w:pBdr>
          <w:top w:val="single" w:color="DEDEDE"/>
          <w:bottom w:val="single" w:color="DEDEDE"/>
          <w:left w:val="single" w:color="DEDEDE"/>
          <w:right w:val="single" w:color="DEDEDE"/>
        </w:pBdr>
      </w:pPr>
      <w:r>
        <w:t xml:space="preserve"> python main.py gen_all_template -s nebula_final</w:t>
      </w:r>
    </w:p>
    <w:p/>
    <w:p>
      <w:r>
        <w:t xml:space="preserve">生成的代码,默认路径为apitest/temp/templates/&lt;项目名称&gt;, 如下图: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5925026" cy="4474845"/>
            <wp:effectExtent b="0" l="0" r="0" t="0"/>
            <wp:docPr id="1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026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项目下分为两个目录:</w:t>
      </w:r>
    </w:p>
    <w:p>
      <w:pPr>
        <w:pStyle w:val="ListParagraph"/>
        <w:numPr>
          <w:ilvl w:val="0"/>
          <w:numId w:val="30"/>
        </w:numPr>
      </w:pPr>
      <w:r>
        <w:t xml:space="preserve">cases: 测试用例目录, 目前会生成api测试类, 参数测试类以及场景测试类</w:t>
      </w:r>
    </w:p>
    <w:p>
      <w:pPr>
        <w:pStyle w:val="ListParagraph"/>
        <w:numPr>
          <w:ilvl w:val="1"/>
          <w:numId w:val="31"/>
        </w:numPr>
      </w:pPr>
      <w:r>
        <w:t xml:space="preserve">api: 单接口测试用例,  包含所有单接口测试用例代码</w:t>
      </w:r>
    </w:p>
    <w:p>
      <w:pPr>
        <w:pStyle w:val="ListParagraph"/>
        <w:numPr>
          <w:ilvl w:val="1"/>
          <w:numId w:val="31"/>
        </w:numPr>
      </w:pPr>
      <w:r>
        <w:t xml:space="preserve">param: 参数测试用例, 包含所有单接口默认异常参数的测试代码.异常参数包括(异常值, 空值, 参数及参数名不存在)</w:t>
      </w:r>
    </w:p>
    <w:p>
      <w:pPr>
        <w:pStyle w:val="ListParagraph"/>
        <w:numPr>
          <w:ilvl w:val="1"/>
          <w:numId w:val="31"/>
        </w:numPr>
      </w:pPr>
      <w:r>
        <w:t xml:space="preserve">scenario: 场景测试用例, 只是一个空文件,需要根据需求,构建场景测试</w:t>
      </w:r>
    </w:p>
    <w:p>
      <w:pPr>
        <w:pStyle w:val="ListParagraph"/>
        <w:numPr>
          <w:ilvl w:val="1"/>
          <w:numId w:val="31"/>
        </w:numPr>
      </w:pPr>
      <w:r>
        <w:t xml:space="preserve">conftest: pytest的配置文件, 默认生成接口对象的fixture以及类级别缓存的fixture代码</w:t>
      </w:r>
    </w:p>
    <w:p>
      <w:pPr>
        <w:pStyle w:val="ListParagraph"/>
        <w:numPr>
          <w:ilvl w:val="0"/>
          <w:numId w:val="30"/>
        </w:numPr>
      </w:pPr>
      <w:r>
        <w:t xml:space="preserve">defines: 接口定义目录, 生成api接口目录, 以及后缀为_business的业务实现类, 其为api下接口类的子类</w:t>
      </w:r>
    </w:p>
    <w:p/>
    <w:p>
      <w:r>
        <w:t xml:space="preserve">api如下图: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4205829" cy="3314700"/>
            <wp:effectExtent b="0" l="0" r="0" t="0"/>
            <wp:docPr id="1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829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param如下图: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4714402" cy="3314700"/>
            <wp:effectExtent b="0" l="0" r="0" t="0"/>
            <wp:docPr id="1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402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scenario如下图: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4098068" cy="3314700"/>
            <wp:effectExtent b="0" l="0" r="0" t="0"/>
            <wp:docPr id="1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068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/>
          <w:bCs/>
        </w:rPr>
        <w:t xml:space="preserve">场景测试用例需要根据业务场景进行开发编写.</w:t>
      </w:r>
    </w:p>
    <w:p>
      <w:r>
        <w:rPr>
          <w:b/>
          <w:bCs/>
        </w:rPr>
        <w:t xml:space="preserve">我的理解是: 先跑通单接口测试, 再根据业务场景,编排接口的调用流程, 在主要节点添加验证, 即可完成场景的测试用例编写</w:t>
      </w:r>
    </w:p>
    <w:p/>
    <w:p>
      <w:r>
        <w:t xml:space="preserve">conftest如下图: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5213119" cy="3314700"/>
            <wp:effectExtent b="0" l="0" r="0" t="0"/>
            <wp:docPr id="1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119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defines/&lt;项目名称&gt;/api/xxx_service_swagger如下图: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3316977" cy="2071688"/>
            <wp:effectExtent b="0" l="0" r="0" t="0"/>
            <wp:docPr id="1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977" cy="207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/>
          <w:bCs/>
        </w:rPr>
        <w:t xml:space="preserve">该类为基础接口类, 单独抽象出来, 无需修改, 如在测试过程中,接口文档有更新, 则只需从新获取swagger.json文件后,生成新代码替换就可以了</w:t>
      </w:r>
    </w:p>
    <w:p/>
    <w:p>
      <w:r>
        <w:t xml:space="preserve">defines/&lt;项目名称&gt;/xxx_service_business 如下图:</w:t>
      </w:r>
    </w:p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4683448" cy="2071688"/>
            <wp:effectExtent b="0" l="0" r="0" t="0"/>
            <wp:docPr id="1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448" cy="207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该类为api类的子类, 用于扩展业务功能, 比如需要封装一个方法,实现子设备的删除,以及确保删除成功,即可通过定一个一个删除方法, 方法中先调用删除方法, 再调用查询方法.</w:t>
      </w:r>
    </w:p>
    <w:p>
      <w:pPr>
        <w:pStyle w:val="Heading1"/>
      </w:pPr>
      <w:r>
        <w:t xml:space="preserve">代码拷贝</w:t>
      </w:r>
    </w:p>
    <w:p/>
    <w:p>
      <w:r>
        <w:t xml:space="preserve">将apitest/temp/templates/&lt;项目名称&gt;/cases/test_&lt;项目名称&gt; 目录拷贝到testcases目录下即可</w:t>
      </w:r>
    </w:p>
    <w:p>
      <w:r>
        <w:t xml:space="preserve">将apitest/temp/templates/&lt;项目名称&gt;/defines/&lt;项目名称&gt; 目录拷贝到defines目录下即可</w:t>
      </w:r>
    </w:p>
    <w:p>
      <w:r>
        <w:rPr>
          <w:b/>
          <w:bCs/>
        </w:rPr>
        <w:t xml:space="preserve">如果不是首次拷贝, 则需要进行代码的对比, 请勿将已写代码覆盖掉</w:t>
      </w:r>
    </w:p>
    <w:p/>
    <w:p>
      <w:pPr>
        <w:pBdr>
          <w:top w:val="single" w:color="DEDEDE"/>
          <w:bottom w:val="single" w:color="DEDEDE"/>
          <w:left w:val="single" w:color="DEDEDE"/>
          <w:right w:val="single" w:color="DEDEDE"/>
        </w:pBdr>
        <w:jc w:val="left"/>
      </w:pPr>
      <w:r>
        <w:drawing>
          <wp:inline distT="0" distB="0" distL="0" distR="0">
            <wp:extent cx="1762547" cy="3314700"/>
            <wp:effectExtent b="0" l="0" r="0" t="0"/>
            <wp:docPr id="1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547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至此, 代码生成部分补充完毕</w:t>
      </w:r>
    </w:p>
    <w:p/>
    <w:sectPr>
      <w:headerReference w:type="default" r:id="rId6"/>
      <w:pgSz w:w="12240" w:h="15840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r>
      <w:drawing>
        <wp:anchor distT="0" distB="0" distL="0" distR="0" simplePos="0" allowOverlap="1" behindDoc="1" locked="0" layoutInCell="1" relativeHeight="1069657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2850" cy="10696575"/>
          <wp:effectExtent b="0" l="0" r="0" t="0"/>
          <wp:wrapNone/>
          <wp:docPr id="20" name="" descr="" titl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r=""/>
                  <pic:cNvPicPr>
                    <a:picLocks noChangeAspect="1" noChangeArrowheads="1"/>
                  </pic:cNvPicPr>
                </pic:nvPicPr>
                <pic:blipFill>
                  <a:blip r:embed="rId0" cstate="none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696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2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abstractNum w:abstractNumId="22" w15:restartNumberingAfterBreak="0">
    <w:multiLevelType w:val="hybridMultilevel"/>
    <w:lvl w:ilvl="0" w15:tentative="1">
      <w:start w:val="1"/>
      <w:numFmt w:val="decimal"/>
      <w:lvlText w:val="%1. "/>
      <w:lvlJc w:val="start"/>
      <w:pPr>
        <w:ind w:left="431" w:hanging="288"/>
      </w:pPr>
    </w:lvl>
    <w:lvl w:ilvl="1" w15:tentative="1">
      <w:start w:val="1"/>
      <w:numFmt w:val="lowerLetter"/>
      <w:lvlText w:val="%2. "/>
      <w:lvlJc w:val="start"/>
      <w:pPr>
        <w:ind w:left="863" w:hanging="288"/>
      </w:pPr>
    </w:lvl>
    <w:lvl w:ilvl="2" w15:tentative="1">
      <w:start w:val="1"/>
      <w:numFmt w:val="lowerRoman"/>
      <w:lvlText w:val="%3. "/>
      <w:lvlJc w:val="start"/>
      <w:pPr>
        <w:ind w:left="1296" w:hanging="288"/>
      </w:pPr>
    </w:lvl>
    <w:lvl w:ilvl="3" w15:tentative="1">
      <w:start w:val="1"/>
      <w:numFmt w:val="decimal"/>
      <w:lvlText w:val="%4. "/>
      <w:lvlJc w:val="start"/>
      <w:pPr>
        <w:ind w:left="1727" w:hanging="288"/>
      </w:pPr>
    </w:lvl>
    <w:lvl w:ilvl="4" w15:tentative="1">
      <w:start w:val="1"/>
      <w:numFmt w:val="lowerLetter"/>
      <w:lvlText w:val="%5. "/>
      <w:lvlJc w:val="start"/>
      <w:pPr>
        <w:ind w:left="2160" w:hanging="288"/>
      </w:pPr>
    </w:lvl>
    <w:lvl w:ilvl="5" w15:tentative="1">
      <w:start w:val="1"/>
      <w:numFmt w:val="lowerRoman"/>
      <w:lvlText w:val="%6. "/>
      <w:lvlJc w:val="start"/>
      <w:pPr>
        <w:ind w:left="2592" w:hanging="288"/>
      </w:pPr>
    </w:lvl>
    <w:lvl w:ilvl="6" w15:tentative="1">
      <w:start w:val="1"/>
      <w:numFmt w:val="decimal"/>
      <w:lvlText w:val="%7. "/>
      <w:lvlJc w:val="start"/>
      <w:pPr>
        <w:ind w:left="3024" w:hanging="288"/>
      </w:pPr>
    </w:lvl>
    <w:lvl w:ilvl="7" w15:tentative="1">
      <w:start w:val="1"/>
      <w:numFmt w:val="lowerLetter"/>
      <w:lvlText w:val="%8. "/>
      <w:lvlJc w:val="start"/>
      <w:pPr>
        <w:ind w:left="3455" w:hanging="288"/>
      </w:pPr>
    </w:lvl>
  </w:abstractNum>
  <w:abstractNum w:abstractNumId="23" w15:restartNumberingAfterBreak="0">
    <w:multiLevelType w:val="hybridMultilevel"/>
    <w:lvl w:ilvl="0" w15:tentative="1">
      <w:start w:val="1"/>
      <w:numFmt w:val="bullet"/>
      <w:lvlText w:val="•"/>
      <w:lvlJc w:val="start"/>
      <w:pPr>
        <w:ind w:left="431" w:hanging="288"/>
      </w:pPr>
    </w:lvl>
    <w:lvl w:ilvl="1" w15:tentative="1">
      <w:start w:val="1"/>
      <w:numFmt w:val="bullet"/>
      <w:lvlText w:val="◦"/>
      <w:lvlJc w:val="start"/>
      <w:pPr>
        <w:ind w:left="863" w:hanging="288"/>
      </w:pPr>
    </w:lvl>
    <w:lvl w:ilvl="2" w15:tentative="1">
      <w:start w:val="1"/>
      <w:numFmt w:val="bullet"/>
      <w:lvlText w:val="▪"/>
      <w:lvlJc w:val="start"/>
      <w:pPr>
        <w:ind w:left="1296" w:hanging="288"/>
      </w:pPr>
    </w:lvl>
    <w:lvl w:ilvl="3" w15:tentative="1">
      <w:start w:val="1"/>
      <w:numFmt w:val="bullet"/>
      <w:lvlText w:val="•"/>
      <w:lvlJc w:val="start"/>
      <w:pPr>
        <w:ind w:left="1727" w:hanging="288"/>
      </w:pPr>
    </w:lvl>
    <w:lvl w:ilvl="4" w15:tentative="1">
      <w:start w:val="1"/>
      <w:numFmt w:val="bullet"/>
      <w:lvlText w:val="◦"/>
      <w:lvlJc w:val="start"/>
      <w:pPr>
        <w:ind w:left="2160" w:hanging="288"/>
      </w:pPr>
    </w:lvl>
    <w:lvl w:ilvl="5" w15:tentative="1">
      <w:start w:val="1"/>
      <w:numFmt w:val="bullet"/>
      <w:lvlText w:val="▪"/>
      <w:lvlJc w:val="start"/>
      <w:pPr>
        <w:ind w:left="2592" w:hanging="288"/>
      </w:pPr>
    </w:lvl>
    <w:lvl w:ilvl="6" w15:tentative="1">
      <w:start w:val="1"/>
      <w:numFmt w:val="bullet"/>
      <w:lvlText w:val="•"/>
      <w:lvlJc w:val="start"/>
      <w:pPr>
        <w:ind w:left="3024" w:hanging="288"/>
      </w:pPr>
    </w:lvl>
    <w:lvl w:ilvl="7" w15:tentative="1">
      <w:start w:val="1"/>
      <w:numFmt w:val="bullet"/>
      <w:lvlText w:val="◦"/>
      <w:lvlJc w:val="start"/>
      <w:pPr>
        <w:ind w:left="3455" w:hanging="288"/>
      </w:pPr>
    </w:lvl>
  </w:abstractNum>
  <w:abstractNum w:abstractNumId="24" w15:restartNumberingAfterBreak="0">
    <w:multiLevelType w:val="hybridMultilevel"/>
    <w:lvl w:ilvl="0" w15:tentative="1">
      <w:start w:val="1"/>
      <w:numFmt w:val="bullet"/>
      <w:lvlText w:val="☑"/>
      <w:lvlJc w:val="start"/>
      <w:pPr>
        <w:ind w:left="431" w:hanging="288"/>
      </w:pPr>
    </w:lvl>
    <w:lvl w:ilvl="1" w15:tentative="1">
      <w:start w:val="1"/>
      <w:numFmt w:val="bullet"/>
      <w:lvlText w:val="☑"/>
      <w:lvlJc w:val="start"/>
      <w:pPr>
        <w:ind w:left="863" w:hanging="288"/>
      </w:pPr>
    </w:lvl>
    <w:lvl w:ilvl="2" w15:tentative="1">
      <w:start w:val="1"/>
      <w:numFmt w:val="bullet"/>
      <w:lvlText w:val="☑"/>
      <w:lvlJc w:val="start"/>
      <w:pPr>
        <w:ind w:left="1296" w:hanging="288"/>
      </w:pPr>
    </w:lvl>
    <w:lvl w:ilvl="3" w15:tentative="1">
      <w:start w:val="1"/>
      <w:numFmt w:val="bullet"/>
      <w:lvlText w:val="☑"/>
      <w:lvlJc w:val="start"/>
      <w:pPr>
        <w:ind w:left="1727" w:hanging="288"/>
      </w:pPr>
    </w:lvl>
    <w:lvl w:ilvl="4" w15:tentative="1">
      <w:start w:val="1"/>
      <w:numFmt w:val="bullet"/>
      <w:lvlText w:val="☑"/>
      <w:lvlJc w:val="start"/>
      <w:pPr>
        <w:ind w:left="2160" w:hanging="288"/>
      </w:pPr>
    </w:lvl>
    <w:lvl w:ilvl="5" w15:tentative="1">
      <w:start w:val="1"/>
      <w:numFmt w:val="bullet"/>
      <w:lvlText w:val="☑"/>
      <w:lvlJc w:val="start"/>
      <w:pPr>
        <w:ind w:left="2592" w:hanging="288"/>
      </w:pPr>
    </w:lvl>
    <w:lvl w:ilvl="6" w15:tentative="1">
      <w:start w:val="1"/>
      <w:numFmt w:val="bullet"/>
      <w:lvlText w:val="☑"/>
      <w:lvlJc w:val="start"/>
      <w:pPr>
        <w:ind w:left="3024" w:hanging="288"/>
      </w:pPr>
    </w:lvl>
    <w:lvl w:ilvl="7" w15:tentative="1">
      <w:start w:val="1"/>
      <w:numFmt w:val="bullet"/>
      <w:lvlText w:val="☑"/>
      <w:lvlJc w:val="start"/>
      <w:pPr>
        <w:ind w:left="3455" w:hanging="288"/>
      </w:pPr>
    </w:lvl>
  </w:abstractNum>
  <w:abstractNum w:abstractNumId="25" w15:restartNumberingAfterBreak="0">
    <w:multiLevelType w:val="hybridMultilevel"/>
    <w:lvl w:ilvl="0" w15:tentative="1">
      <w:start w:val="1"/>
      <w:numFmt w:val="bullet"/>
      <w:lvlText w:val="☐"/>
      <w:lvlJc w:val="start"/>
      <w:pPr>
        <w:ind w:left="431" w:hanging="288"/>
      </w:pPr>
    </w:lvl>
    <w:lvl w:ilvl="1" w15:tentative="1">
      <w:start w:val="1"/>
      <w:numFmt w:val="bullet"/>
      <w:lvlText w:val="☐"/>
      <w:lvlJc w:val="start"/>
      <w:pPr>
        <w:ind w:left="863" w:hanging="288"/>
      </w:pPr>
    </w:lvl>
    <w:lvl w:ilvl="2" w15:tentative="1">
      <w:start w:val="1"/>
      <w:numFmt w:val="bullet"/>
      <w:lvlText w:val="☐"/>
      <w:lvlJc w:val="start"/>
      <w:pPr>
        <w:ind w:left="1296" w:hanging="288"/>
      </w:pPr>
    </w:lvl>
    <w:lvl w:ilvl="3" w15:tentative="1">
      <w:start w:val="1"/>
      <w:numFmt w:val="bullet"/>
      <w:lvlText w:val="☐"/>
      <w:lvlJc w:val="start"/>
      <w:pPr>
        <w:ind w:left="1727" w:hanging="288"/>
      </w:pPr>
    </w:lvl>
    <w:lvl w:ilvl="4" w15:tentative="1">
      <w:start w:val="1"/>
      <w:numFmt w:val="bullet"/>
      <w:lvlText w:val="☐"/>
      <w:lvlJc w:val="start"/>
      <w:pPr>
        <w:ind w:left="2160" w:hanging="288"/>
      </w:pPr>
    </w:lvl>
    <w:lvl w:ilvl="5" w15:tentative="1">
      <w:start w:val="1"/>
      <w:numFmt w:val="bullet"/>
      <w:lvlText w:val="☐"/>
      <w:lvlJc w:val="start"/>
      <w:pPr>
        <w:ind w:left="2592" w:hanging="288"/>
      </w:pPr>
    </w:lvl>
    <w:lvl w:ilvl="6" w15:tentative="1">
      <w:start w:val="1"/>
      <w:numFmt w:val="bullet"/>
      <w:lvlText w:val="☐"/>
      <w:lvlJc w:val="start"/>
      <w:pPr>
        <w:ind w:left="3024" w:hanging="288"/>
      </w:pPr>
    </w:lvl>
    <w:lvl w:ilvl="7" w15:tentative="1">
      <w:start w:val="1"/>
      <w:numFmt w:val="bullet"/>
      <w:lvlText w:val="☐"/>
      <w:lvlJc w:val="start"/>
      <w:pPr>
        <w:ind w:left="3455" w:hanging="288"/>
      </w:pPr>
    </w:lvl>
  </w:abstractNum>
  <w:num w:numId="1">
    <w:abstractNumId w:val="21"/>
    <w:lvlOverride w:ilvl="0">
      <w:startOverride w:val="1"/>
    </w:lvlOverride>
  </w:num>
  <w:num w:numId="26">
    <w:abstractNumId w:val="23"/>
    <w:lvlOverride w:ilvl="0">
      <w:startOverride w:val="1"/>
    </w:lvlOverride>
  </w:num>
  <w:num w:numId="27">
    <w:abstractNumId w:val="23"/>
    <w:lvlOverride w:ilvl="0">
      <w:startOverride w:val="1"/>
    </w:lvlOverride>
  </w:num>
  <w:num w:numId="28">
    <w:abstractNumId w:val="23"/>
    <w:lvlOverride w:ilvl="0">
      <w:startOverride w:val="1"/>
    </w:lvlOverride>
  </w:num>
  <w:num w:numId="29">
    <w:abstractNumId w:val="23"/>
    <w:lvlOverride w:ilvl="0">
      <w:startOverride w:val="1"/>
    </w:lvlOverride>
  </w:num>
  <w:num w:numId="30">
    <w:abstractNumId w:val="23"/>
    <w:lvlOverride w:ilvl="0">
      <w:startOverride w:val="1"/>
    </w:lvlOverride>
  </w:num>
  <w:num w:numId="31">
    <w:abstractNumId w:val="23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3C7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405DE"/>
    <w:pPr>
      <w:keepNext/>
      <w:keepLines/>
      <w:spacing w:before="240"/>
      <w:outlineLvl w:val="0"/>
    </w:pPr>
    <w:rPr>
      <w:rFonts w:ascii="Microsoft YaHei" w:eastAsia="Microsoft YaHei" w:hAnsi="Microsoft YaHei" w:cs="Times New Roman (Headings CS)"/>
      <w:b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05DE"/>
    <w:pPr>
      <w:keepNext/>
      <w:keepLines/>
      <w:spacing w:before="40"/>
      <w:outlineLvl w:val="1"/>
    </w:pPr>
    <w:rPr>
      <w:rFonts w:ascii="Microsoft YaHei" w:eastAsia="Microsoft YaHei" w:hAnsi="Microsoft YaHei" w:cs="Times New Roman (Headings CS)"/>
      <w:b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05DE"/>
    <w:pPr>
      <w:keepNext/>
      <w:keepLines/>
      <w:spacing w:before="40"/>
      <w:outlineLvl w:val="2"/>
    </w:pPr>
    <w:rPr>
      <w:rFonts w:ascii="Microsoft YaHei" w:eastAsia="Microsoft YaHei" w:hAnsi="Microsoft YaHei" w:cs="Times New Roman (Headings CS)"/>
      <w:b/>
      <w:color w:val="000000" w:themeColor="text1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05DE"/>
    <w:pPr>
      <w:keepNext/>
      <w:keepLines/>
      <w:spacing w:before="40"/>
      <w:outlineLvl w:val="3"/>
    </w:pPr>
    <w:rPr>
      <w:rFonts w:ascii="Microsoft YaHei" w:eastAsia="Microsoft YaHei" w:hAnsi="Microsoft YaHei" w:cs="Times New Roman (Headings CS)"/>
      <w:b/>
      <w:iCs/>
      <w:color w:val="000000" w:themeColor="text1"/>
      <w:sz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405DE"/>
    <w:pPr>
      <w:keepNext/>
      <w:keepLines/>
      <w:spacing w:before="40"/>
      <w:outlineLvl w:val="4"/>
    </w:pPr>
    <w:rPr>
      <w:rFonts w:ascii="Microsoft YaHei" w:eastAsia="Microsoft YaHei" w:hAnsi="Microsoft YaHei" w:cs="Times New Roman (Headings CS)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405DE"/>
    <w:pPr>
      <w:keepNext/>
      <w:keepLines/>
      <w:spacing w:before="40"/>
      <w:outlineLvl w:val="5"/>
    </w:pPr>
    <w:rPr>
      <w:rFonts w:ascii="Microsoft YaHei" w:eastAsia="Microsoft YaHei" w:hAnsi="Microsoft YaHei" w:cs="Times New Roman (Headings CS)"/>
      <w:b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405DE"/>
    <w:pPr>
      <w:keepNext/>
      <w:keepLines/>
      <w:spacing w:before="40"/>
      <w:outlineLvl w:val="6"/>
    </w:pPr>
    <w:rPr>
      <w:rFonts w:ascii="Microsoft YaHei" w:eastAsia="Microsoft YaHei" w:hAnsi="Microsoft YaHei" w:cs="Times New Roman (Headings CS)"/>
      <w:b/>
      <w:iCs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405DE"/>
    <w:pPr>
      <w:keepNext/>
      <w:keepLines/>
      <w:spacing w:before="40"/>
      <w:outlineLvl w:val="7"/>
    </w:pPr>
    <w:rPr>
      <w:rFonts w:ascii="Microsoft YaHei" w:eastAsia="Microsoft YaHei" w:hAnsi="Microsoft YaHei" w:cs="Times New Roman (Headings CS)"/>
      <w:b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05DE"/>
    <w:rPr>
      <w:rFonts w:ascii="Microsoft YaHei" w:eastAsia="Microsoft YaHei" w:hAnsi="Microsoft YaHei" w:cs="Times New Roman (Headings CS)"/>
      <w:b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405DE"/>
    <w:rPr>
      <w:rFonts w:ascii="Microsoft YaHei" w:eastAsia="Microsoft YaHei" w:hAnsi="Microsoft YaHei" w:cs="Times New Roman (Headings CS)"/>
      <w:b/>
      <w:color w:val="000000" w:themeColor="text1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05DE"/>
    <w:rPr>
      <w:rFonts w:ascii="Microsoft YaHei" w:eastAsia="Microsoft YaHei" w:hAnsi="Microsoft YaHei" w:cs="Times New Roman (Headings CS)"/>
      <w:b/>
      <w:color w:val="000000" w:themeColor="text1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405DE"/>
    <w:rPr>
      <w:rFonts w:ascii="Microsoft YaHei" w:eastAsia="Microsoft YaHei" w:hAnsi="Microsoft YaHei" w:cs="Times New Roman (Headings CS)"/>
      <w:b/>
      <w:iCs/>
      <w:color w:val="000000" w:themeColor="text1"/>
      <w:sz w:val="30"/>
    </w:rPr>
  </w:style>
  <w:style w:type="character" w:customStyle="1" w:styleId="Heading5Char">
    <w:name w:val="Heading 5 Char"/>
    <w:basedOn w:val="DefaultParagraphFont"/>
    <w:link w:val="Heading5"/>
    <w:uiPriority w:val="9"/>
    <w:rsid w:val="00D405DE"/>
    <w:rPr>
      <w:rFonts w:ascii="Microsoft YaHei" w:eastAsia="Microsoft YaHei" w:hAnsi="Microsoft YaHei" w:cs="Times New Roman (Headings CS)"/>
      <w:b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rsid w:val="00D405DE"/>
    <w:rPr>
      <w:rFonts w:ascii="Microsoft YaHei" w:eastAsia="Microsoft YaHei" w:hAnsi="Microsoft YaHei" w:cs="Times New Roman (Headings CS)"/>
      <w:b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rsid w:val="00D405DE"/>
    <w:rPr>
      <w:rFonts w:ascii="Microsoft YaHei" w:eastAsia="Microsoft YaHei" w:hAnsi="Microsoft YaHei" w:cs="Times New Roman (Headings CS)"/>
      <w:b/>
      <w:iCs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rsid w:val="00D405DE"/>
    <w:rPr>
      <w:rFonts w:ascii="Microsoft YaHei" w:eastAsia="Microsoft YaHei" w:hAnsi="Microsoft YaHei" w:cs="Times New Roman (Headings CS)"/>
      <w:b/>
      <w:color w:val="272727" w:themeColor="text1" w:themeTint="D8"/>
      <w:szCs w:val="21"/>
    </w:rPr>
  </w:style>
  <w:style w:type="paragraph" w:customStyle="1" w:styleId="Code">
    <w:name w:val="Code"/>
    <w:basedOn w:val="Normal"/>
    <w:qFormat/>
    <w:rsid w:val="008E0CF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</w:pPr>
    <w:rPr>
      <w:rFonts w:ascii="Consolas" w:eastAsia="SimSun" w:hAnsi="Consolas" w:cs="Times New Roman (Body CS)"/>
      <w:lang w:val="en-US"/>
    </w:rPr>
  </w:style>
  <w:style w:type="character" w:customStyle="1" w:styleId="InlineCode">
    <w:name w:val="InlineCode"/>
    <w:basedOn w:val="DefaultParagraphFont"/>
    <w:uiPriority w:val="1"/>
    <w:qFormat/>
    <w:rsid w:val="008E0CFB"/>
    <w:rPr>
      <w:rFonts w:ascii="Consolas" w:eastAsia="SimSun" w:hAnsi="Consolas"/>
      <w:bdr w:val="none" w:sz="0" w:space="0" w:color="auto"/>
      <w:shd w:val="clear" w:color="auto" w:fill="E7E6E6" w:themeFill="background2"/>
      <w:lang w:val="en-US"/>
    </w:rPr>
  </w:style>
  <w:style w:type="character" w:styleId="Hyperlink">
    <w:name w:val="Hyperlink"/>
    <w:basedOn w:val="DefaultParagraphFont"/>
    <w:uiPriority w:val="99"/>
    <w:unhideWhenUsed/>
    <w:rsid w:val="00CE19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198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405DE"/>
    <w:pPr>
      <w:numPr>
        <w:ilvl w:val="2"/>
        <w:numId w:val="1"/>
      </w:numPr>
    </w:pPr>
    <w:rPr>
      <w:lang w:val="en-US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header" Target="header1.xml"/><Relationship Id="rIdhnmrdb_czcz17kctb7d3-" Type="http://schemas.openxmlformats.org/officeDocument/2006/relationships/hyperlink" Target="http://open.argus.sensetime.com/nebula/docs/v1" TargetMode="External"/><Relationship Id="rId7" Type="http://schemas.openxmlformats.org/officeDocument/2006/relationships/image" Target="media/3upfyauiwbg6lckulil4p.png"/><Relationship Id="rId8" Type="http://schemas.openxmlformats.org/officeDocument/2006/relationships/image" Target="media/bjuqpb6ch5bdzlbqtedmn.png"/><Relationship Id="rId9" Type="http://schemas.openxmlformats.org/officeDocument/2006/relationships/image" Target="media/14sjpxffoabhulfey-dof.png"/><Relationship Id="rId10" Type="http://schemas.openxmlformats.org/officeDocument/2006/relationships/image" Target="media/e4jo4iz5dpe_252d8zze1.png"/><Relationship Id="rId11" Type="http://schemas.openxmlformats.org/officeDocument/2006/relationships/image" Target="media/hjmsvbx3avufreu2we3xz.png"/><Relationship Id="rId12" Type="http://schemas.openxmlformats.org/officeDocument/2006/relationships/image" Target="media/jz5nxhrxgqtes_h2am8vx.png"/><Relationship Id="rId13" Type="http://schemas.openxmlformats.org/officeDocument/2006/relationships/image" Target="media/abjpz49tssvahnfmjiodg.png"/><Relationship Id="rId14" Type="http://schemas.openxmlformats.org/officeDocument/2006/relationships/image" Target="media/dy0qyodiydyxgtsv9gvda.png"/><Relationship Id="rId15" Type="http://schemas.openxmlformats.org/officeDocument/2006/relationships/image" Target="media/v6bqanokfdl7jynfh7gbq.png"/><Relationship Id="rId16" Type="http://schemas.openxmlformats.org/officeDocument/2006/relationships/image" Target="media/gdztjrno0xdyob_mjmkm-.png"/><Relationship Id="rId17" Type="http://schemas.openxmlformats.org/officeDocument/2006/relationships/image" Target="media/wcd5ihk5nwvjdyfbmnwok.png"/><Relationship Id="rId18" Type="http://schemas.openxmlformats.org/officeDocument/2006/relationships/image" Target="media/kdgnfbclacqu_1w_xovnc.png"/></Relationships>
</file>

<file path=word/_rels/footnotes.xml.rels><?xml version="1.0" encoding="UTF-8"?><Relationships xmlns="http://schemas.openxmlformats.org/package/2006/relationships"/>
</file>

<file path=word/_rels/header1.xml.rels><?xml version="1.0" encoding="UTF-8"?><Relationships xmlns="http://schemas.openxmlformats.org/package/2006/relationships"><Relationship Id="rId0" Type="http://schemas.openxmlformats.org/officeDocument/2006/relationships/image" Target="media/ib8k_3yykut88gd2ibt2p.png"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2023-10-27T02:35:06.685Z</dcterms:created>
  <dcterms:modified xsi:type="dcterms:W3CDTF">2023-10-27T02:35:06.685Z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