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01 configObj配置文件对象</w:t>
      </w:r>
    </w:p>
    <w:p>
      <w:pPr>
        <w:pStyle w:val="Heading1"/>
      </w:pPr>
      <w:r>
        <w:t xml:space="preserve">configObj概述</w:t>
      </w:r>
    </w:p>
    <w:p>
      <w:pPr>
        <w:pStyle w:val="ListParagraph"/>
        <w:numPr>
          <w:ilvl w:val="0"/>
          <w:numId w:val="56"/>
        </w:numPr>
      </w:pPr>
      <w:r>
        <w:t xml:space="preserve">configObj是配置文件的对象, 用于在代码开发中, 获取*.toml配置文件中的内容.</w:t>
      </w:r>
    </w:p>
    <w:p>
      <w:pPr>
        <w:pStyle w:val="ListParagraph"/>
        <w:numPr>
          <w:ilvl w:val="0"/>
          <w:numId w:val="56"/>
        </w:numPr>
      </w:pPr>
      <w:r>
        <w:t xml:space="preserve">在apitest中, 每次执行前,会指定唯一的一个toml配置文件, 将其加载, 转化成configObj</w:t>
      </w:r>
    </w:p>
    <w:p>
      <w:pPr>
        <w:pStyle w:val="ListParagraph"/>
        <w:numPr>
          <w:ilvl w:val="0"/>
          <w:numId w:val="56"/>
        </w:numPr>
      </w:pPr>
      <w:r>
        <w:t xml:space="preserve">在测试开发中, 可能会用到的常量数据, 可以抽出来, 存储在toml配置文件中,比如url信息, 用户信息,设备信息</w:t>
      </w:r>
    </w:p>
    <w:p>
      <w:pPr>
        <w:pStyle w:val="ListParagraph"/>
        <w:numPr>
          <w:ilvl w:val="0"/>
          <w:numId w:val="56"/>
        </w:numPr>
      </w:pPr>
      <w:r>
        <w:t xml:space="preserve">根据被测环境的不同, 比如线上环境或线下环境, 可以灵活的切换指定的配置文件, 而不需要频繁的修改代码</w:t>
      </w:r>
    </w:p>
    <w:p>
      <w:pPr>
        <w:pStyle w:val="Heading1"/>
      </w:pPr>
      <w:r>
        <w:t xml:space="preserve">配置文件 Toml</w:t>
      </w:r>
    </w:p>
    <w:p>
      <w:r>
        <w:t xml:space="preserve">配置文件存放目录apitest/conf/ 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347847" cy="803815"/>
            <wp:effectExtent b="0" l="0" r="0" t="0"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47" cy="8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在配置文件中, 我们可以根据需要, 添加配置数据</w:t>
      </w:r>
    </w:p>
    <w:p/>
    <w:p>
      <w:pPr>
        <w:pStyle w:val="Heading1"/>
      </w:pPr>
      <w:r>
        <w:t xml:space="preserve">指定配置文件名称</w:t>
      </w:r>
    </w:p>
    <w:p>
      <w:r>
        <w:t xml:space="preserve">方法一: 命令行添加参数–config, 如下: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pytest --config=nebula_dev</w:t>
      </w:r>
    </w:p>
    <w:p/>
    <w:p>
      <w:r>
        <w:t xml:space="preserve">方法二: 代码中修改(适用于使用ide开发过程中修改配置文件)</w:t>
      </w:r>
    </w:p>
    <w:p>
      <w:r>
        <w:t xml:space="preserve">apitest/conftest.py::</w:t>
      </w:r>
      <w:r>
        <w:rPr>
          <w:color w:val="003366"/>
        </w:rPr>
        <w:t xml:space="preserve">pytest_addoption函数, 如下图:</w:t>
      </w:r>
    </w:p>
    <w:p>
      <w:r>
        <w:drawing>
          <wp:inline distT="0" distB="0" distL="0" distR="0">
            <wp:extent cx="11830050" cy="2200275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 xml:space="preserve">configObj的作用范围</w:t>
      </w:r>
    </w:p>
    <w:p>
      <w:r>
        <w:t xml:space="preserve">configObj在pytest里被定义为一个fixture, 其名称为config_obj, 它是在全局conftest文件中定义的,且scope为session级别, 因此</w:t>
      </w:r>
      <w:r>
        <w:rPr>
          <w:b/>
          <w:bCs/>
          <w:color w:val="ff0000"/>
        </w:rPr>
        <w:t xml:space="preserve">在conftest和测试用例中皆可使用该fixture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021771" cy="1350740"/>
            <wp:effectExtent b="0" l="0" r="0" t="0"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71" cy="13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 xml:space="preserve">configObj使用举例</w:t>
      </w:r>
    </w:p>
    <w:p>
      <w:r>
        <w:t xml:space="preserve">配置文件如下: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[ConfigMap]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client_info = [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'Clients.Aiot.ec1', #205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#       'Clients.Aiot.ec2', #206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camera_info = [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'Clients.SubDevice.Camera_hikvision',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#       'Clients.SubDevice.NVR2'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[EnvInfo]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[EnvInfo.NebulaCloud]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Service = "http://nebula.staging.sensetime.com"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[Clients]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Service = 'https://%s:5043'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[Clients.Aiot]    # aiot的端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[Clients.Aiot.ec1]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    ip = '10.151.5.205'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    port = '22'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[Clients.Aiot.ec2]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    ip = '10.151.5.206'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            port = '22'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(...略)</w:t>
      </w:r>
    </w:p>
    <w:p/>
    <w:p>
      <w:r>
        <w:t xml:space="preserve">案例1: 在项目级conftest中使用,如下图: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194484" cy="2071688"/>
            <wp:effectExtent b="0" l="0" r="0" t="0"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84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案例2: 在测试用例中使用,如下图: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087379"/>
            <wp:effectExtent b="0" l="0" r="0" t="0"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 xml:space="preserve">configObj进阶用法: ConfigMap</w:t>
      </w:r>
    </w:p>
    <w:p>
      <w:r>
        <w:t xml:space="preserve">在以往的测试中,遇到过这样的参数化测试的场景: </w:t>
      </w:r>
    </w:p>
    <w:p>
      <w:r>
        <w:t xml:space="preserve">        验证范围包含: 不同型号的端设备(型号类型数量设为N), 以及不同品牌的摄像头设备(品牌数量设为M)</w:t>
      </w:r>
    </w:p>
    <w:p>
      <w:r>
        <w:t xml:space="preserve">如果想把所有类型都验证一遍的话, 需要运行测试用例</w:t>
      </w:r>
      <w:r>
        <w:rPr>
          <w:color w:val="ff0000"/>
        </w:rPr>
        <w:t xml:space="preserve">N*M</w:t>
      </w:r>
      <w:r>
        <w:t xml:space="preserve">次</w:t>
      </w:r>
    </w:p>
    <w:p>
      <w:r>
        <w:t xml:space="preserve">当时的做法是使用pytest的参数化装饰器(</w:t>
      </w:r>
      <w:r>
        <w:rPr>
          <w:color w:val="bbb529"/>
        </w:rPr>
        <w:t xml:space="preserve">@pytest.mark.parametrize</w:t>
      </w:r>
      <w:r>
        <w:t xml:space="preserve">)实现,</w:t>
      </w:r>
    </w:p>
    <w:p>
      <w:r>
        <w:t xml:space="preserve">缺点是需要在每个测试用例上都添加参数化装饰器, 并且写死在测试用例中.</w:t>
      </w:r>
    </w:p>
    <w:p/>
    <w:p>
      <w:r>
        <w:t xml:space="preserve">后来, 我思索出了一种解决方法:</w:t>
      </w:r>
    </w:p>
    <w:p>
      <w:r>
        <w:t xml:space="preserve">基于configObj 以及pytest提供的动态参数化方法, 简化的这一流程,  不再需要在代码中添加过多的装饰器代码,  只需2步即可实现以上场景的测试</w:t>
      </w:r>
    </w:p>
    <w:p>
      <w:r>
        <w:t xml:space="preserve">第一步: 在toml配置ConfigMap,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073856" cy="2071688"/>
            <wp:effectExtent b="0" l="0" r="0" t="0"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56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第二步: 为ConfigMap下的key, 定义相应名称的fixture, 建议在项目级conftest文件中定义.如下图: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812290" cy="2071688"/>
            <wp:effectExtent b="0" l="0" r="0" t="0"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9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在代码中应用:</w:t>
      </w:r>
    </w:p>
    <w:p>
      <w:r>
        <w:t xml:space="preserve">举例1: 在conftest中应用, 为端接口对象提供端的ip信息,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390417" cy="2071688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17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举例2:在测试用例中应用, 实现前文中提到的场景, 测试不同设备, 不同摄像头下子设备的crud过程: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779328" cy="2071688"/>
            <wp:effectExtent b="0" l="0" r="0" t="0"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8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该例子运行结果如下, 可以看出, 在2个设备, 2个摄像头的情况下执行了4次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953216" cy="2071688"/>
            <wp:effectExtent b="0" l="0" r="0" t="0"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16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至此, configObj的说明结束</w:t>
      </w:r>
    </w:p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50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5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54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55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51"/>
    <w:lvlOverride w:ilvl="0">
      <w:startOverride w:val="1"/>
    </w:lvlOverride>
  </w:num>
  <w:num w:numId="56">
    <w:abstractNumId w:val="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mej5bpn1cd-k6cnqahndl.png"/><Relationship Id="rId8" Type="http://schemas.openxmlformats.org/officeDocument/2006/relationships/image" Target="media/rtgnacxe5neywj641zwyk.png"/><Relationship Id="rId9" Type="http://schemas.openxmlformats.org/officeDocument/2006/relationships/image" Target="media/a5gh-yr7ilz8eagnbnpzp.png"/><Relationship Id="rId10" Type="http://schemas.openxmlformats.org/officeDocument/2006/relationships/image" Target="media/9buv8ri3z_okampbrvy0p.png"/><Relationship Id="rId11" Type="http://schemas.openxmlformats.org/officeDocument/2006/relationships/image" Target="media/d59op0ar5b09t2kdn_725.png"/><Relationship Id="rId12" Type="http://schemas.openxmlformats.org/officeDocument/2006/relationships/image" Target="media/djxc3gug7a_3ogn7lz0tm.png"/><Relationship Id="rId13" Type="http://schemas.openxmlformats.org/officeDocument/2006/relationships/image" Target="media/slfihskealw3hvykgf1jc.png"/><Relationship Id="rId14" Type="http://schemas.openxmlformats.org/officeDocument/2006/relationships/image" Target="media/xxyuchlsfapxtyx1ox_15.png"/><Relationship Id="rId15" Type="http://schemas.openxmlformats.org/officeDocument/2006/relationships/image" Target="media/hloqofkq5eor6f7ivrbfo.png"/><Relationship Id="rId16" Type="http://schemas.openxmlformats.org/officeDocument/2006/relationships/image" Target="media/ayfdteh_0cxgdax9a1l4g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_ncwu7o8wmbzi-q9bdidb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2023-10-27T02:35:33.723Z</dcterms:created>
  <dcterms:modified xsi:type="dcterms:W3CDTF">2023-10-27T02:35:33.723Z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