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04 接口参数边界值测试用例开发</w:t>
      </w:r>
    </w:p>
    <w:p>
      <w:pPr>
        <w:pStyle w:val="Heading1"/>
      </w:pPr>
      <w:r>
        <w:t xml:space="preserve">回顾</w:t>
      </w:r>
    </w:p>
    <w:p>
      <w:r>
        <w:t xml:space="preserve">根据前文的步骤,  我们已经完成了以下几个步骤:</w:t>
      </w:r>
    </w:p>
    <w:p>
      <w:pPr>
        <w:pStyle w:val="ListParagraph"/>
        <w:numPr>
          <w:ilvl w:val="0"/>
          <w:numId w:val="91"/>
        </w:numPr>
      </w:pPr>
      <w:r>
        <w:t xml:space="preserve">生成了大部分代码, 拷贝到指定的目录下</w:t>
      </w:r>
    </w:p>
    <w:p>
      <w:pPr>
        <w:pStyle w:val="ListParagraph"/>
        <w:numPr>
          <w:ilvl w:val="0"/>
          <w:numId w:val="91"/>
        </w:numPr>
      </w:pPr>
      <w:r>
        <w:t xml:space="preserve">配置了conf下的toml配置文件, 填入了一些数据参数</w:t>
      </w:r>
    </w:p>
    <w:p>
      <w:pPr>
        <w:pStyle w:val="ListParagraph"/>
        <w:numPr>
          <w:ilvl w:val="0"/>
          <w:numId w:val="91"/>
        </w:numPr>
      </w:pPr>
      <w:r>
        <w:t xml:space="preserve">完善项目级conftest的代码, 使接口对象可以正常调用</w:t>
      </w:r>
    </w:p>
    <w:p>
      <w:r>
        <w:t xml:space="preserve">接下来, 就可以正式开始测试</w:t>
      </w:r>
    </w:p>
    <w:p/>
    <w:p>
      <w:pPr>
        <w:pStyle w:val="Heading1"/>
      </w:pPr>
      <w:r>
        <w:t xml:space="preserve">脚本开发</w:t>
      </w:r>
    </w:p>
    <w:p>
      <w:r>
        <w:t xml:space="preserve">首先,我们先分析下参数测试用例生成的脚本中包含哪些内容,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2006087"/>
            <wp:effectExtent b="0" l="0" r="0" t="0"/>
            <wp:docPr id="8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我们还以子设备添加举例:</w:t>
      </w:r>
    </w:p>
    <w:p>
      <w:pPr>
        <w:pStyle w:val="ListParagraph"/>
        <w:numPr>
          <w:ilvl w:val="0"/>
          <w:numId w:val="92"/>
        </w:numPr>
      </w:pPr>
      <w:r>
        <w:t xml:space="preserve">首先可以看到方法定义中的参数中多了invalidParam, 实际是对应装饰器@pytest.mark.parametrize中的第一个参数, 这是pytest参数化的用法.</w:t>
      </w:r>
    </w:p>
    <w:p>
      <w:pPr>
        <w:pStyle w:val="ListParagraph"/>
        <w:numPr>
          <w:ilvl w:val="0"/>
          <w:numId w:val="92"/>
        </w:numPr>
      </w:pPr>
      <w:r>
        <w:t xml:space="preserve">装饰器中的第二个参数是一个列表,每一项是一个元祖, 分别是入参的字段名称,以及测试的边界值</w:t>
      </w:r>
    </w:p>
    <w:p>
      <w:pPr>
        <w:pStyle w:val="ListParagraph"/>
        <w:numPr>
          <w:ilvl w:val="0"/>
          <w:numId w:val="92"/>
        </w:numPr>
      </w:pPr>
      <w:r>
        <w:t xml:space="preserve">代码中,跟api单接口测试相同的是, 需要先填充正确的请求参数, 调用接口方法, 不同点是,接口方法的参数sendRequest=False, 意思是不会真正发送请求, 因为我们需要接下来,对请求报文中的其中一项进行修改,来测试它的边界值</w:t>
      </w:r>
    </w:p>
    <w:p>
      <w:pPr>
        <w:pStyle w:val="ListParagraph"/>
        <w:numPr>
          <w:ilvl w:val="0"/>
          <w:numId w:val="92"/>
        </w:numPr>
      </w:pPr>
      <w:r>
        <w:t xml:space="preserve">通过intef.update_body(invalidParam[0], invalidParam[1]) 对请求报文中的某字段进行修改</w:t>
      </w:r>
    </w:p>
    <w:p>
      <w:pPr>
        <w:pStyle w:val="ListParagraph"/>
        <w:numPr>
          <w:ilvl w:val="0"/>
          <w:numId w:val="92"/>
        </w:numPr>
      </w:pPr>
      <w:r>
        <w:t xml:space="preserve">之后, 调用intef.request()方法发送请求, 得到的resp就可以进行验证了</w:t>
      </w:r>
    </w:p>
    <w:p/>
    <w:p>
      <w:r>
        <w:t xml:space="preserve">附上这个例子填充后代码的截图,  截图中,我加了一些注释, 方便理解: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3394784"/>
            <wp:effectExtent b="0" l="0" r="0" t="0"/>
            <wp:docPr id="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执行测试用例后的结果如下: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387160"/>
            <wp:effectExtent b="0" l="0" r="0" t="0"/>
            <wp:docPr id="8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3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总结一下, 以上只是抛砖引玉,  举了一个简单的例子, 更多的验证方法需要根据需求去写case, 代码写起来是比较灵活的.</w:t>
      </w:r>
    </w:p>
    <w:p>
      <w:r>
        <w:t xml:space="preserve">这里再说一下, 生成代码这件事, 就是为了减少这些重复代码的编写, 参数边界值测试就是一个很好的例子,往往为了测边界值, 要改参数,调接口,重复无数次, 而这些过程中,是有共性的,那么就一定能通过测试框架去解决这个问题.</w:t>
      </w:r>
    </w:p>
    <w:p>
      <w:r>
        <w:t xml:space="preserve">因此, 我是希望测试同学能够写更少的代码, 而进行更多的测试及思考,  把更多精力投入到业务逻辑测试中.保证测试能在短时间内完成,并有很高的成效, 这也是我不断更新测试框架的动力.</w:t>
      </w:r>
    </w:p>
    <w:p/>
    <w:p>
      <w:r>
        <w:t xml:space="preserve">至此, 参数边界值接口测试补充完成.</w:t>
      </w:r>
    </w:p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85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88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89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90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86"/>
    <w:lvlOverride w:ilvl="0">
      <w:startOverride w:val="1"/>
    </w:lvlOverride>
  </w:num>
  <w:num w:numId="91">
    <w:abstractNumId w:val="88"/>
    <w:lvlOverride w:ilvl="0">
      <w:startOverride w:val="1"/>
    </w:lvlOverride>
  </w:num>
  <w:num w:numId="92">
    <w:abstractNumId w:val="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b56t_s9shyhnp_5kx1kcp.png"/><Relationship Id="rId8" Type="http://schemas.openxmlformats.org/officeDocument/2006/relationships/image" Target="media/aszcs4affwsovt6bqxeuh.png"/><Relationship Id="rId9" Type="http://schemas.openxmlformats.org/officeDocument/2006/relationships/image" Target="media/pkldqnqrag-vvdh8mrabj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cwaw8vohhmioexurxyi9a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2023-10-27T02:37:28.256Z</dcterms:created>
  <dcterms:modified xsi:type="dcterms:W3CDTF">2023-10-27T02:37:28.256Z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