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jc w:val="center"/>
      </w:pPr>
      <w:r>
        <w:rPr>
          <w:rFonts w:ascii="Arial" w:cs="Arial" w:eastAsia="Arial" w:hAnsi="Arial"/>
          <w:b/>
          <w:bCs/>
          <w:color w:val="1E2761"/>
          <w:sz w:val="44"/>
          <w:szCs w:val="44"/>
        </w:rPr>
        <w:t xml:space="preserve">BỘ TÀI LIỆU YÊU CẦU (mô phỏng)</w:t>
      </w:r>
    </w:p>
    <w:p>
      <w:pPr>
        <w:spacing w:after="80"/>
        <w:jc w:val="center"/>
      </w:pPr>
      <w:r>
        <w:rPr>
          <w:rFonts w:ascii="Arial" w:cs="Arial" w:eastAsia="Arial" w:hAnsi="Arial"/>
          <w:color w:val="1C7293"/>
          <w:sz w:val="28"/>
          <w:szCs w:val="28"/>
        </w:rPr>
        <w:t xml:space="preserve">Dự án: Hệ thống quản lý chuỗi kho lạnh thực phẩm</w:t>
      </w:r>
    </w:p>
    <w:p>
      <w:pPr>
        <w:spacing w:after="400"/>
        <w:jc w:val="center"/>
      </w:pPr>
      <w:r>
        <w:rPr>
          <w:rFonts w:ascii="Arial" w:cs="Arial" w:eastAsia="Arial" w:hAnsi="Arial"/>
          <w:i/>
          <w:iCs/>
          <w:sz w:val="24"/>
          <w:szCs w:val="24"/>
        </w:rPr>
        <w:t xml:space="preserve">Yuki Cold-Chain Management System (YCCMS)</w:t>
      </w:r>
    </w:p>
    <w:p>
      <w:pPr>
        <w:spacing w:after="60"/>
        <w:jc w:val="center"/>
      </w:pPr>
      <w:r>
        <w:rPr>
          <w:rFonts w:ascii="Arial" w:cs="Arial" w:eastAsia="Arial" w:hAnsi="Arial"/>
          <w:b/>
          <w:bCs/>
          <w:sz w:val="22"/>
          <w:szCs w:val="22"/>
        </w:rPr>
        <w:t xml:space="preserve">Khách hàng: Công ty CP Logistics Lạnh Yuki</w:t>
      </w:r>
    </w:p>
    <w:p>
      <w:pPr>
        <w:spacing w:after="60"/>
        <w:jc w:val="center"/>
      </w:pPr>
      <w:r>
        <w:rPr>
          <w:rFonts w:ascii="Arial" w:cs="Arial" w:eastAsia="Arial" w:hAnsi="Arial"/>
          <w:sz w:val="20"/>
          <w:szCs w:val="20"/>
        </w:rPr>
        <w:t xml:space="preserve">株式会社ユキ冷蔵ロジスティクス</w:t>
      </w:r>
    </w:p>
    <w:p>
      <w:pPr>
        <w:spacing w:after="400"/>
        <w:jc w:val="center"/>
      </w:pPr>
      <w:r>
        <w:rPr>
          <w:rFonts w:ascii="Arial" w:cs="Arial" w:eastAsia="Arial" w:hAnsi="Arial"/>
          <w:sz w:val="20"/>
          <w:szCs w:val="20"/>
        </w:rPr>
        <w:t xml:space="preserve">Gửi tới: Sun* (Sun Asterisk) — Sun VN02</w:t>
      </w:r>
    </w:p>
    <w:p>
      <w:pPr>
        <w:jc w:val="center"/>
      </w:pPr>
      <w:r>
        <w:rPr>
          <w:rFonts w:ascii="Arial" w:cs="Arial" w:eastAsia="Arial" w:hAnsi="Arial"/>
          <w:i/>
          <w:iCs/>
          <w:color w:val="555555"/>
          <w:sz w:val="18"/>
          <w:szCs w:val="18"/>
        </w:rPr>
        <w:t xml:space="preserve">Nội dung: (I) RFP · (II) Mô tả nghiệp vụ hiện tại · (III) Ràng buộc &amp; quy định · (IV) Số liệu vận hành</w:t>
      </w:r>
    </w:p>
    <w:p>
      <w:pPr>
        <w:spacing w:before="600"/>
        <w:jc w:val="center"/>
      </w:pPr>
      <w:r>
        <w:rPr>
          <w:rFonts w:ascii="Arial" w:cs="Arial" w:eastAsia="Arial" w:hAnsi="Arial"/>
          <w:i/>
          <w:iCs/>
          <w:color w:val="888888"/>
          <w:sz w:val="16"/>
          <w:szCs w:val="16"/>
        </w:rPr>
        <w:t xml:space="preserve">LAB-1 — Tài liệu khách mô phỏng (do nhóm dự án dựng từ mô tả nghiệp vụ). 2026-10-02</w:t>
      </w:r>
    </w:p>
    <w:p>
      <w:r>
        <w:br w:type="page"/>
      </w:r>
    </w:p>
    <w:p>
      <w:pPr>
        <w:pStyle w:val="Heading1"/>
        <w:spacing w:after="120" w:before="240"/>
      </w:pPr>
      <w:r>
        <w:rPr>
          <w:rFonts w:ascii="Arial" w:cs="Arial" w:eastAsia="Arial" w:hAnsi="Arial"/>
          <w:b/>
          <w:bCs/>
          <w:color w:val="1E2761"/>
          <w:sz w:val="30"/>
          <w:szCs w:val="30"/>
        </w:rPr>
        <w:t xml:space="preserve">I. Thư mời đề xuất (RFP)</w:t>
      </w:r>
    </w:p>
    <w:p>
      <w:pPr>
        <w:pStyle w:val="Heading2"/>
        <w:spacing w:after="100" w:before="180"/>
      </w:pPr>
      <w:r>
        <w:rPr>
          <w:rFonts w:ascii="Arial" w:cs="Arial" w:eastAsia="Arial" w:hAnsi="Arial"/>
          <w:b/>
          <w:bCs/>
          <w:color w:val="1C7293"/>
          <w:sz w:val="24"/>
          <w:szCs w:val="24"/>
        </w:rPr>
        <w:t xml:space="preserve">1. Giới thiệu công ty</w:t>
      </w:r>
    </w:p>
    <w:p>
      <w:pPr>
        <w:spacing w:after="120"/>
      </w:pPr>
      <w:r>
        <w:rPr>
          <w:rFonts w:ascii="Arial" w:cs="Arial" w:eastAsia="Arial" w:hAnsi="Arial"/>
          <w:sz w:val="20"/>
          <w:szCs w:val="20"/>
        </w:rPr>
        <w:t xml:space="preserve">Công ty CP Logistics Lạnh Yuki (株式会社ユキ冷蔵ロジスティクス) vận hành một trung tâm phân phối (DC) kho lạnh ba dải nhiệt (三温度帯 — thường/mát/đông), cung cấp thực phẩm tươi và đông lạnh cho các chuỗi bán lẻ. Quy mô vừa, khoảng 30–50 nhân viên.</w:t>
      </w:r>
    </w:p>
    <w:p>
      <w:pPr>
        <w:spacing w:after="120"/>
      </w:pPr>
      <w:r>
        <w:rPr>
          <w:rFonts w:ascii="Arial" w:cs="Arial" w:eastAsia="Arial" w:hAnsi="Arial"/>
          <w:sz w:val="20"/>
          <w:szCs w:val="20"/>
        </w:rPr>
        <w:t xml:space="preserve">Yuki vận hành 1 trung tâm phân phối (DC) kho lạnh 3 dải nhiệt (三温度帯) cung cấp thực phẩm tươi và đông lạnh cho chuỗi bán lẻ. Quy mô vừa (~30–50 nhân viên). Nghiệp vụ hiện chạy trên Excel + phần mềm kho cũ, không còn đáp ứng 2 sức ép quy định.</w:t>
      </w:r>
    </w:p>
    <w:p>
      <w:pPr>
        <w:pStyle w:val="Heading2"/>
        <w:spacing w:after="100" w:before="180"/>
      </w:pPr>
      <w:r>
        <w:rPr>
          <w:rFonts w:ascii="Arial" w:cs="Arial" w:eastAsia="Arial" w:hAnsi="Arial"/>
          <w:b/>
          <w:bCs/>
          <w:color w:val="1C7293"/>
          <w:sz w:val="24"/>
          <w:szCs w:val="24"/>
        </w:rPr>
        <w:t xml:space="preserve">2. Bối cảnh &amp; lý do triển khai dự án</w:t>
      </w:r>
    </w:p>
    <w:p>
      <w:pPr>
        <w:spacing w:after="120"/>
      </w:pPr>
      <w:r>
        <w:rPr>
          <w:rFonts w:ascii="Arial" w:cs="Arial" w:eastAsia="Arial" w:hAnsi="Arial"/>
          <w:sz w:val="20"/>
          <w:szCs w:val="20"/>
        </w:rPr>
        <w:t xml:space="preserve">Hệ thống hiện tại (Excel + phần mềm kho cũ) không còn đáp ứng hai sức ép quy định sau:</w:t>
      </w:r>
    </w:p>
    <w:p>
      <w:pPr>
        <w:pStyle w:val="ListParagraph"/>
        <w:numPr>
          <w:ilvl w:val="0"/>
          <w:numId w:val="1"/>
        </w:numPr>
        <w:spacing w:after="70"/>
      </w:pPr>
      <w:r>
        <w:rPr>
          <w:rFonts w:ascii="Arial" w:cs="Arial" w:eastAsia="Arial" w:hAnsi="Arial"/>
          <w:b w:val="false"/>
          <w:bCs w:val="false"/>
          <w:sz w:val="20"/>
          <w:szCs w:val="20"/>
        </w:rPr>
        <w:t xml:space="preserve">Áp lực 1 — HACCP: HACCP bắt buộc: Luật Vệ sinh thực phẩm (食品衛生法) sửa đổi, hoàn toàn bắt buộc từ tháng 6/2021, đòi hỏi hệ thống hỗ trợ ghi chép &amp; lưu vết tuân thủ (nhiệt độ, CCP, vệ sinh).</w:t>
      </w:r>
    </w:p>
    <w:p>
      <w:pPr>
        <w:pStyle w:val="ListParagraph"/>
        <w:numPr>
          <w:ilvl w:val="0"/>
          <w:numId w:val="1"/>
        </w:numPr>
        <w:spacing w:after="70"/>
      </w:pPr>
      <w:r>
        <w:rPr>
          <w:rFonts w:ascii="Arial" w:cs="Arial" w:eastAsia="Arial" w:hAnsi="Arial"/>
          <w:b w:val="false"/>
          <w:bCs w:val="false"/>
          <w:sz w:val="20"/>
          <w:szCs w:val="20"/>
        </w:rPr>
        <w:t xml:space="preserve">Áp lực 2 — 物流2024年問題: 物流2024年問題 (vấn đề logistics 2024): từ 4/2024 áp trần giờ làm thêm tài xế 960h/năm và 改善基準告示 sửa đổi (giới hạn 拘束時間 — giờ làm gồm chờ, 連続運転時間 — lái liên tục, thời gian nghỉ). Lịch giao hàng cũ không còn khả thi, buộc phải có hệ thống lập lịch mới có ràng buộc giờ lái.</w:t>
      </w:r>
    </w:p>
    <w:p>
      <w:pPr>
        <w:pStyle w:val="Heading2"/>
        <w:spacing w:after="100" w:before="180"/>
      </w:pPr>
      <w:r>
        <w:rPr>
          <w:rFonts w:ascii="Arial" w:cs="Arial" w:eastAsia="Arial" w:hAnsi="Arial"/>
          <w:b/>
          <w:bCs/>
          <w:color w:val="1C7293"/>
          <w:sz w:val="24"/>
          <w:szCs w:val="24"/>
        </w:rPr>
        <w:t xml:space="preserve">3. Mục tiêu dự án</w:t>
      </w:r>
    </w:p>
    <w:p>
      <w:pPr>
        <w:pStyle w:val="ListParagraph"/>
        <w:numPr>
          <w:ilvl w:val="0"/>
          <w:numId w:val="1"/>
        </w:numPr>
        <w:spacing w:after="70"/>
      </w:pPr>
      <w:r>
        <w:rPr>
          <w:rFonts w:ascii="Arial" w:cs="Arial" w:eastAsia="Arial" w:hAnsi="Arial"/>
          <w:b w:val="false"/>
          <w:bCs w:val="false"/>
          <w:sz w:val="20"/>
          <w:szCs w:val="20"/>
        </w:rPr>
        <w:t xml:space="preserve">Xây dựng hệ thống quản lý kho lạnh + lập lịch giao hàng thống nhất, thay thế quy trình thủ công.</w:t>
      </w:r>
    </w:p>
    <w:p>
      <w:pPr>
        <w:pStyle w:val="ListParagraph"/>
        <w:numPr>
          <w:ilvl w:val="0"/>
          <w:numId w:val="1"/>
        </w:numPr>
        <w:spacing w:after="70"/>
      </w:pPr>
      <w:r>
        <w:rPr>
          <w:rFonts w:ascii="Arial" w:cs="Arial" w:eastAsia="Arial" w:hAnsi="Arial"/>
          <w:b w:val="false"/>
          <w:bCs w:val="false"/>
          <w:sz w:val="20"/>
          <w:szCs w:val="20"/>
        </w:rPr>
        <w:t xml:space="preserve">Hỗ trợ ghi chép &amp; lưu vết tuân thủ HACCP theo quy định bắt buộc từ 6/2021.</w:t>
      </w:r>
    </w:p>
    <w:p>
      <w:pPr>
        <w:pStyle w:val="ListParagraph"/>
        <w:numPr>
          <w:ilvl w:val="0"/>
          <w:numId w:val="1"/>
        </w:numPr>
        <w:spacing w:after="70"/>
      </w:pPr>
      <w:r>
        <w:rPr>
          <w:rFonts w:ascii="Arial" w:cs="Arial" w:eastAsia="Arial" w:hAnsi="Arial"/>
          <w:b w:val="false"/>
          <w:bCs w:val="false"/>
          <w:sz w:val="20"/>
          <w:szCs w:val="20"/>
        </w:rPr>
        <w:t xml:space="preserve">Lập lịch giao hàng tuân thủ ràng buộc giờ lái xe tải (từ 2024).</w:t>
      </w:r>
    </w:p>
    <w:p>
      <w:pPr>
        <w:pStyle w:val="ListParagraph"/>
        <w:numPr>
          <w:ilvl w:val="0"/>
          <w:numId w:val="1"/>
        </w:numPr>
        <w:spacing w:after="70"/>
      </w:pPr>
      <w:r>
        <w:rPr>
          <w:rFonts w:ascii="Arial" w:cs="Arial" w:eastAsia="Arial" w:hAnsi="Arial"/>
          <w:b w:val="false"/>
          <w:bCs w:val="false"/>
          <w:sz w:val="20"/>
          <w:szCs w:val="20"/>
        </w:rPr>
        <w:t xml:space="preserve">Giảm sai sót nghiệp vụ: xuất sai thứ tự hạn dùng, vi phạm 日付逆転, đứt chuỗi lạnh.</w:t>
      </w:r>
    </w:p>
    <w:p>
      <w:pPr>
        <w:pStyle w:val="ListParagraph"/>
        <w:numPr>
          <w:ilvl w:val="0"/>
          <w:numId w:val="1"/>
        </w:numPr>
        <w:spacing w:after="70"/>
      </w:pPr>
      <w:r>
        <w:rPr>
          <w:rFonts w:ascii="Arial" w:cs="Arial" w:eastAsia="Arial" w:hAnsi="Arial"/>
          <w:b w:val="false"/>
          <w:bCs w:val="false"/>
          <w:sz w:val="20"/>
          <w:szCs w:val="20"/>
        </w:rPr>
        <w:t xml:space="preserve">Đáp ứng nghĩa vụ truy xuất nguồn gốc bắt buộc (gạo, thịt bò).</w:t>
      </w:r>
    </w:p>
    <w:p>
      <w:pPr>
        <w:pStyle w:val="Heading2"/>
        <w:spacing w:after="100" w:before="180"/>
      </w:pPr>
      <w:r>
        <w:rPr>
          <w:rFonts w:ascii="Arial" w:cs="Arial" w:eastAsia="Arial" w:hAnsi="Arial"/>
          <w:b/>
          <w:bCs/>
          <w:color w:val="1C7293"/>
          <w:sz w:val="24"/>
          <w:szCs w:val="24"/>
        </w:rPr>
        <w:t xml:space="preserve">4. Phạm vi mong muốn (In scope)</w:t>
      </w:r>
    </w:p>
    <w:p>
      <w:pPr>
        <w:pStyle w:val="ListParagraph"/>
        <w:numPr>
          <w:ilvl w:val="0"/>
          <w:numId w:val="1"/>
        </w:numPr>
        <w:spacing w:after="70"/>
      </w:pPr>
      <w:r>
        <w:rPr>
          <w:rFonts w:ascii="Arial" w:cs="Arial" w:eastAsia="Arial" w:hAnsi="Arial"/>
          <w:b w:val="false"/>
          <w:bCs w:val="false"/>
          <w:sz w:val="20"/>
          <w:szCs w:val="20"/>
        </w:rPr>
        <w:t xml:space="preserve">Quản lý kho theo 3 dải nhiệt và vị trí lưu trữ.</w:t>
      </w:r>
    </w:p>
    <w:p>
      <w:pPr>
        <w:pStyle w:val="ListParagraph"/>
        <w:numPr>
          <w:ilvl w:val="0"/>
          <w:numId w:val="1"/>
        </w:numPr>
        <w:spacing w:after="70"/>
      </w:pPr>
      <w:r>
        <w:rPr>
          <w:rFonts w:ascii="Arial" w:cs="Arial" w:eastAsia="Arial" w:hAnsi="Arial"/>
          <w:b w:val="false"/>
          <w:bCs w:val="false"/>
          <w:sz w:val="20"/>
          <w:szCs w:val="20"/>
        </w:rPr>
        <w:t xml:space="preserve">Nhập kho &amp; kiểm hàng (ghi nhiệt độ, lô, hạn dùng).</w:t>
      </w:r>
    </w:p>
    <w:p>
      <w:pPr>
        <w:pStyle w:val="ListParagraph"/>
        <w:numPr>
          <w:ilvl w:val="0"/>
          <w:numId w:val="1"/>
        </w:numPr>
        <w:spacing w:after="70"/>
      </w:pPr>
      <w:r>
        <w:rPr>
          <w:rFonts w:ascii="Arial" w:cs="Arial" w:eastAsia="Arial" w:hAnsi="Arial"/>
          <w:b w:val="false"/>
          <w:bCs w:val="false"/>
          <w:sz w:val="20"/>
          <w:szCs w:val="20"/>
        </w:rPr>
        <w:t xml:space="preserve">Xuất kho theo nguyên tắc vào trước ra trước (FIFO); chặn giao vi phạm thứ tự hạn dùng.</w:t>
      </w:r>
    </w:p>
    <w:p>
      <w:pPr>
        <w:pStyle w:val="ListParagraph"/>
        <w:numPr>
          <w:ilvl w:val="0"/>
          <w:numId w:val="1"/>
        </w:numPr>
        <w:spacing w:after="70"/>
      </w:pPr>
      <w:r>
        <w:rPr>
          <w:rFonts w:ascii="Arial" w:cs="Arial" w:eastAsia="Arial" w:hAnsi="Arial"/>
          <w:b w:val="false"/>
          <w:bCs w:val="false"/>
          <w:sz w:val="20"/>
          <w:szCs w:val="20"/>
        </w:rPr>
        <w:t xml:space="preserve">Lập lịch giao hàng có ràng buộc giờ lái xe.</w:t>
      </w:r>
    </w:p>
    <w:p>
      <w:pPr>
        <w:pStyle w:val="ListParagraph"/>
        <w:numPr>
          <w:ilvl w:val="0"/>
          <w:numId w:val="1"/>
        </w:numPr>
        <w:spacing w:after="70"/>
      </w:pPr>
      <w:r>
        <w:rPr>
          <w:rFonts w:ascii="Arial" w:cs="Arial" w:eastAsia="Arial" w:hAnsi="Arial"/>
          <w:b w:val="false"/>
          <w:bCs w:val="false"/>
          <w:sz w:val="20"/>
          <w:szCs w:val="20"/>
        </w:rPr>
        <w:t xml:space="preserve">Giám sát nhiệt độ chuỗi lạnh (từ dữ liệu data logger).</w:t>
      </w:r>
    </w:p>
    <w:p>
      <w:pPr>
        <w:pStyle w:val="ListParagraph"/>
        <w:numPr>
          <w:ilvl w:val="0"/>
          <w:numId w:val="1"/>
        </w:numPr>
        <w:spacing w:after="70"/>
      </w:pPr>
      <w:r>
        <w:rPr>
          <w:rFonts w:ascii="Arial" w:cs="Arial" w:eastAsia="Arial" w:hAnsi="Arial"/>
          <w:b w:val="false"/>
          <w:bCs w:val="false"/>
          <w:sz w:val="20"/>
          <w:szCs w:val="20"/>
        </w:rPr>
        <w:t xml:space="preserve">Ghi chép &amp; báo cáo tuân thủ HACCP.</w:t>
      </w:r>
    </w:p>
    <w:p>
      <w:pPr>
        <w:pStyle w:val="ListParagraph"/>
        <w:numPr>
          <w:ilvl w:val="0"/>
          <w:numId w:val="1"/>
        </w:numPr>
        <w:spacing w:after="70"/>
      </w:pPr>
      <w:r>
        <w:rPr>
          <w:rFonts w:ascii="Arial" w:cs="Arial" w:eastAsia="Arial" w:hAnsi="Arial"/>
          <w:b w:val="false"/>
          <w:bCs w:val="false"/>
          <w:sz w:val="20"/>
          <w:szCs w:val="20"/>
        </w:rPr>
        <w:t xml:space="preserve">Truy xuất nguồn gốc (bắt buộc gạo/bò; tùy chọn mặt hàng khác).</w:t>
      </w:r>
    </w:p>
    <w:p>
      <w:pPr>
        <w:pStyle w:val="ListParagraph"/>
        <w:numPr>
          <w:ilvl w:val="0"/>
          <w:numId w:val="1"/>
        </w:numPr>
        <w:spacing w:after="70"/>
      </w:pPr>
      <w:r>
        <w:rPr>
          <w:rFonts w:ascii="Arial" w:cs="Arial" w:eastAsia="Arial" w:hAnsi="Arial"/>
          <w:b w:val="false"/>
          <w:bCs w:val="false"/>
          <w:sz w:val="20"/>
          <w:szCs w:val="20"/>
        </w:rPr>
        <w:t xml:space="preserve">Báo cáo vận hành &amp; tuân thủ; quản trị người dùng/phân quyền.</w:t>
      </w:r>
    </w:p>
    <w:p>
      <w:pPr>
        <w:pStyle w:val="Heading2"/>
        <w:spacing w:after="100" w:before="180"/>
      </w:pPr>
      <w:r>
        <w:rPr>
          <w:rFonts w:ascii="Arial" w:cs="Arial" w:eastAsia="Arial" w:hAnsi="Arial"/>
          <w:b/>
          <w:bCs/>
          <w:color w:val="1C7293"/>
          <w:sz w:val="24"/>
          <w:szCs w:val="24"/>
        </w:rPr>
        <w:t xml:space="preserve">5. Ngoài phạm vi (Out of scope)</w:t>
      </w:r>
    </w:p>
    <w:p>
      <w:pPr>
        <w:pStyle w:val="ListParagraph"/>
        <w:numPr>
          <w:ilvl w:val="0"/>
          <w:numId w:val="1"/>
        </w:numPr>
        <w:spacing w:after="70"/>
      </w:pPr>
      <w:r>
        <w:rPr>
          <w:rFonts w:ascii="Arial" w:cs="Arial" w:eastAsia="Arial" w:hAnsi="Arial"/>
          <w:b w:val="false"/>
          <w:bCs w:val="false"/>
          <w:sz w:val="20"/>
          <w:szCs w:val="20"/>
        </w:rPr>
        <w:t xml:space="preserve">Hệ thống kế toán, nhân sự, tính lương.</w:t>
      </w:r>
    </w:p>
    <w:p>
      <w:pPr>
        <w:pStyle w:val="ListParagraph"/>
        <w:numPr>
          <w:ilvl w:val="0"/>
          <w:numId w:val="1"/>
        </w:numPr>
        <w:spacing w:after="70"/>
      </w:pPr>
      <w:r>
        <w:rPr>
          <w:rFonts w:ascii="Arial" w:cs="Arial" w:eastAsia="Arial" w:hAnsi="Arial"/>
          <w:b w:val="false"/>
          <w:bCs w:val="false"/>
          <w:sz w:val="20"/>
          <w:szCs w:val="20"/>
        </w:rPr>
        <w:t xml:space="preserve">Hệ thống POS/bán hàng của retailer.</w:t>
      </w:r>
    </w:p>
    <w:p>
      <w:pPr>
        <w:pStyle w:val="ListParagraph"/>
        <w:numPr>
          <w:ilvl w:val="0"/>
          <w:numId w:val="1"/>
        </w:numPr>
        <w:spacing w:after="70"/>
      </w:pPr>
      <w:r>
        <w:rPr>
          <w:rFonts w:ascii="Arial" w:cs="Arial" w:eastAsia="Arial" w:hAnsi="Arial"/>
          <w:b w:val="false"/>
          <w:bCs w:val="false"/>
          <w:sz w:val="20"/>
          <w:szCs w:val="20"/>
        </w:rPr>
        <w:t xml:space="preserve">Cung cấp phần cứng cảm biến/data logger (chỉ tích hợp dữ liệu nếu đã có).</w:t>
      </w:r>
    </w:p>
    <w:p>
      <w:pPr>
        <w:pStyle w:val="ListParagraph"/>
        <w:numPr>
          <w:ilvl w:val="0"/>
          <w:numId w:val="1"/>
        </w:numPr>
        <w:spacing w:after="70"/>
      </w:pPr>
      <w:r>
        <w:rPr>
          <w:rFonts w:ascii="Arial" w:cs="Arial" w:eastAsia="Arial" w:hAnsi="Arial"/>
          <w:b w:val="false"/>
          <w:bCs w:val="false"/>
          <w:sz w:val="20"/>
          <w:szCs w:val="20"/>
        </w:rPr>
        <w:t xml:space="preserve">Tối ưu tuyến tự động (routing optimization) — xem là tùy chọn, cần thống nhất riêng.</w:t>
      </w:r>
    </w:p>
    <w:p>
      <w:pPr>
        <w:pStyle w:val="Heading2"/>
        <w:spacing w:after="100" w:before="180"/>
      </w:pPr>
      <w:r>
        <w:rPr>
          <w:rFonts w:ascii="Arial" w:cs="Arial" w:eastAsia="Arial" w:hAnsi="Arial"/>
          <w:b/>
          <w:bCs/>
          <w:color w:val="1C7293"/>
          <w:sz w:val="24"/>
          <w:szCs w:val="24"/>
        </w:rPr>
        <w:t xml:space="preserve">6. Ràng buộc kỹ thuật &amp; triển khai</w:t>
      </w:r>
    </w:p>
    <w:p>
      <w:pPr>
        <w:pStyle w:val="ListParagraph"/>
        <w:numPr>
          <w:ilvl w:val="0"/>
          <w:numId w:val="1"/>
        </w:numPr>
        <w:spacing w:after="70"/>
      </w:pPr>
      <w:r>
        <w:rPr>
          <w:rFonts w:ascii="Arial" w:cs="Arial" w:eastAsia="Arial" w:hAnsi="Arial"/>
          <w:b w:val="false"/>
          <w:bCs w:val="false"/>
          <w:sz w:val="20"/>
          <w:szCs w:val="20"/>
        </w:rPr>
        <w:t xml:space="preserve">Ưu tiên ứng dụng web; hình thức triển khai (cloud/on-prem) để Sun* đề xuất.</w:t>
      </w:r>
    </w:p>
    <w:p>
      <w:pPr>
        <w:pStyle w:val="ListParagraph"/>
        <w:numPr>
          <w:ilvl w:val="0"/>
          <w:numId w:val="1"/>
        </w:numPr>
        <w:spacing w:after="70"/>
      </w:pPr>
      <w:r>
        <w:rPr>
          <w:rFonts w:ascii="Arial" w:cs="Arial" w:eastAsia="Arial" w:hAnsi="Arial"/>
          <w:b w:val="false"/>
          <w:bCs w:val="false"/>
          <w:sz w:val="20"/>
          <w:szCs w:val="20"/>
        </w:rPr>
        <w:t xml:space="preserve">Tích hợp dữ liệu nhiệt độ từ data logger hiện có (xuất file CSV).</w:t>
      </w:r>
    </w:p>
    <w:p>
      <w:pPr>
        <w:pStyle w:val="ListParagraph"/>
        <w:numPr>
          <w:ilvl w:val="0"/>
          <w:numId w:val="1"/>
        </w:numPr>
        <w:spacing w:after="70"/>
      </w:pPr>
      <w:r>
        <w:rPr>
          <w:rFonts w:ascii="Arial" w:cs="Arial" w:eastAsia="Arial" w:hAnsi="Arial"/>
          <w:b w:val="false"/>
          <w:bCs w:val="false"/>
          <w:sz w:val="20"/>
          <w:szCs w:val="20"/>
        </w:rPr>
        <w:t xml:space="preserve">Giao diện tiếng Nhật là chính, có thể cần tiếng Anh.</w:t>
      </w:r>
    </w:p>
    <w:p>
      <w:pPr>
        <w:pStyle w:val="ListParagraph"/>
        <w:numPr>
          <w:ilvl w:val="0"/>
          <w:numId w:val="1"/>
        </w:numPr>
        <w:spacing w:after="70"/>
      </w:pPr>
      <w:r>
        <w:rPr>
          <w:rFonts w:ascii="Arial" w:cs="Arial" w:eastAsia="Arial" w:hAnsi="Arial"/>
          <w:b w:val="false"/>
          <w:bCs w:val="false"/>
          <w:sz w:val="20"/>
          <w:szCs w:val="20"/>
        </w:rPr>
        <w:t xml:space="preserve">Dữ liệu vận hành phải bảo mật; lưu vết thao tác phục vụ HACCP &amp; truy xuất.</w:t>
      </w:r>
    </w:p>
    <w:p>
      <w:pPr>
        <w:pStyle w:val="Heading2"/>
        <w:spacing w:after="100" w:before="180"/>
      </w:pPr>
      <w:r>
        <w:rPr>
          <w:rFonts w:ascii="Arial" w:cs="Arial" w:eastAsia="Arial" w:hAnsi="Arial"/>
          <w:b/>
          <w:bCs/>
          <w:color w:val="1C7293"/>
          <w:sz w:val="24"/>
          <w:szCs w:val="24"/>
        </w:rPr>
        <w:t xml:space="preserve">7. Nội dung đề xuất cần nộp</w:t>
      </w:r>
    </w:p>
    <w:p>
      <w:pPr>
        <w:spacing w:after="120"/>
      </w:pPr>
      <w:r>
        <w:rPr>
          <w:rFonts w:ascii="Arial" w:cs="Arial" w:eastAsia="Arial" w:hAnsi="Arial"/>
          <w:sz w:val="20"/>
          <w:szCs w:val="20"/>
        </w:rPr>
        <w:t xml:space="preserve">Yuki mong nhận gói đề xuất đủ để ký duyệt, gồm: phạm vi chức năng, danh sách màn hình, ước lượng effort/WBS, báo giá (cost), kế hoạch triển khai/timeline, rủi ro và phương án giảm thiểu, cùng danh sách câu hỏi làm rõ (nếu có).</w:t>
      </w:r>
    </w:p>
    <w:p>
      <w:pPr>
        <w:pStyle w:val="Heading2"/>
        <w:spacing w:after="100" w:before="180"/>
      </w:pPr>
      <w:r>
        <w:rPr>
          <w:rFonts w:ascii="Arial" w:cs="Arial" w:eastAsia="Arial" w:hAnsi="Arial"/>
          <w:b/>
          <w:bCs/>
          <w:color w:val="1C7293"/>
          <w:sz w:val="24"/>
          <w:szCs w:val="24"/>
        </w:rPr>
        <w:t xml:space="preserve">8. Timeline &amp; ngân sách</w:t>
      </w:r>
    </w:p>
    <w:p>
      <w:pPr>
        <w:spacing w:after="120"/>
      </w:pPr>
      <w:r>
        <w:rPr>
          <w:rFonts w:ascii="Arial" w:cs="Arial" w:eastAsia="Arial" w:hAnsi="Arial"/>
          <w:sz w:val="20"/>
          <w:szCs w:val="20"/>
        </w:rPr>
        <w:t xml:space="preserve">Mong muốn go-live trước mùa cao điểm cuối năm (tháng 12). Ngân sách chưa công bố — đề nghị Sun* đề xuất phương án theo phân kỳ nếu cần. (Đây là điểm cần làm rõ.)</w:t>
      </w:r>
    </w:p>
    <w:p>
      <w:r>
        <w:br w:type="page"/>
      </w:r>
    </w:p>
    <w:p>
      <w:pPr>
        <w:pStyle w:val="Heading1"/>
        <w:spacing w:after="120" w:before="240"/>
      </w:pPr>
      <w:r>
        <w:rPr>
          <w:rFonts w:ascii="Arial" w:cs="Arial" w:eastAsia="Arial" w:hAnsi="Arial"/>
          <w:b/>
          <w:bCs/>
          <w:color w:val="1E2761"/>
          <w:sz w:val="30"/>
          <w:szCs w:val="30"/>
        </w:rPr>
        <w:t xml:space="preserve">II. Mô tả nghiệp vụ hiện tại (As-Is)</w:t>
      </w:r>
    </w:p>
    <w:p>
      <w:pPr>
        <w:pStyle w:val="Heading2"/>
        <w:spacing w:after="100" w:before="180"/>
      </w:pPr>
      <w:r>
        <w:rPr>
          <w:rFonts w:ascii="Arial" w:cs="Arial" w:eastAsia="Arial" w:hAnsi="Arial"/>
          <w:b/>
          <w:bCs/>
          <w:color w:val="1C7293"/>
          <w:sz w:val="24"/>
          <w:szCs w:val="24"/>
        </w:rPr>
        <w:t xml:space="preserve">1. Kho &amp; dải nhiệt</w:t>
      </w:r>
    </w:p>
    <w:p>
      <w:pPr>
        <w:spacing w:after="120"/>
      </w:pPr>
      <w:r>
        <w:rPr>
          <w:rFonts w:ascii="Arial" w:cs="Arial" w:eastAsia="Arial" w:hAnsi="Arial"/>
          <w:sz w:val="20"/>
          <w:szCs w:val="20"/>
        </w:rPr>
        <w:t xml:space="preserve">DC có 3 khu nhiệt. Ngưỡng nhiệt do Yuki TỰ công bố (không theo một chuẩn chung): Thường 15–25°C; Mát 0–10°C (một số mặt hàng 2–5°C); Đông ≤ −18°C. Mỗi nhóm hàng được quy định dải nhiệt bảo quản phù hợp.</w:t>
      </w:r>
    </w:p>
    <w:p>
      <w:pPr>
        <w:pStyle w:val="Heading2"/>
        <w:spacing w:after="100" w:before="180"/>
      </w:pPr>
      <w:r>
        <w:rPr>
          <w:rFonts w:ascii="Arial" w:cs="Arial" w:eastAsia="Arial" w:hAnsi="Arial"/>
          <w:b/>
          <w:bCs/>
          <w:color w:val="1C7293"/>
          <w:sz w:val="24"/>
          <w:szCs w:val="24"/>
        </w:rPr>
        <w:t xml:space="preserve">2. Nhập kho &amp; kiểm hàng</w:t>
      </w:r>
    </w:p>
    <w:p>
      <w:pPr>
        <w:spacing w:after="120"/>
      </w:pPr>
      <w:r>
        <w:rPr>
          <w:rFonts w:ascii="Arial" w:cs="Arial" w:eastAsia="Arial" w:hAnsi="Arial"/>
          <w:sz w:val="20"/>
          <w:szCs w:val="20"/>
        </w:rPr>
        <w:t xml:space="preserve">Nhận hàng từ ~80 nhà cung cấp. Khi nhận, nhân viên đo nhiệt độ hàng, ghi lô (lot), ngày sản xuất và hạn dùng. Hiện ghi tay + nhập lại vào Excel, dễ sai sót và khó lưu vết.</w:t>
      </w:r>
    </w:p>
    <w:p>
      <w:pPr>
        <w:pStyle w:val="Heading2"/>
        <w:spacing w:after="100" w:before="180"/>
      </w:pPr>
      <w:r>
        <w:rPr>
          <w:rFonts w:ascii="Arial" w:cs="Arial" w:eastAsia="Arial" w:hAnsi="Arial"/>
          <w:b/>
          <w:bCs/>
          <w:color w:val="1C7293"/>
          <w:sz w:val="24"/>
          <w:szCs w:val="24"/>
        </w:rPr>
        <w:t xml:space="preserve">3. Lưu kho</w:t>
      </w:r>
    </w:p>
    <w:p>
      <w:pPr>
        <w:spacing w:after="120"/>
      </w:pPr>
      <w:r>
        <w:rPr>
          <w:rFonts w:ascii="Arial" w:cs="Arial" w:eastAsia="Arial" w:hAnsi="Arial"/>
          <w:sz w:val="20"/>
          <w:szCs w:val="20"/>
        </w:rPr>
        <w:t xml:space="preserve">Hàng xếp theo khu nhiệt và vị trí. Quản lý tồn theo lô bằng Excel, khó tra cứu nhanh theo lô/hạn/vị trí.</w:t>
      </w:r>
    </w:p>
    <w:p>
      <w:pPr>
        <w:pStyle w:val="Heading2"/>
        <w:spacing w:after="100" w:before="180"/>
      </w:pPr>
      <w:r>
        <w:rPr>
          <w:rFonts w:ascii="Arial" w:cs="Arial" w:eastAsia="Arial" w:hAnsi="Arial"/>
          <w:b/>
          <w:bCs/>
          <w:color w:val="1C7293"/>
          <w:sz w:val="24"/>
          <w:szCs w:val="24"/>
        </w:rPr>
        <w:t xml:space="preserve">4. Xuất kho &amp; giao hàng</w:t>
      </w:r>
    </w:p>
    <w:p>
      <w:pPr>
        <w:spacing w:after="120"/>
      </w:pPr>
      <w:r>
        <w:rPr>
          <w:rFonts w:ascii="Arial" w:cs="Arial" w:eastAsia="Arial" w:hAnsi="Arial"/>
          <w:sz w:val="20"/>
          <w:szCs w:val="20"/>
        </w:rPr>
        <w:t xml:space="preserve">Theo đơn của retailer (~150 dòng đơn/ngày). Nguyên tắc vào trước ra trước (FIFO) nhưng làm thủ công nên hay xuất sai lô. Giao bằng đội xe (12 xe: 6 riêng + 6 thuê ngoài; 10 tài xế; ~8 tuyến/ngày). Lịch giao cũ chưa tính giới hạn giờ lái mới.</w:t>
      </w:r>
    </w:p>
    <w:p>
      <w:pPr>
        <w:pStyle w:val="Heading2"/>
        <w:spacing w:after="100" w:before="180"/>
      </w:pPr>
      <w:r>
        <w:rPr>
          <w:rFonts w:ascii="Arial" w:cs="Arial" w:eastAsia="Arial" w:hAnsi="Arial"/>
          <w:b/>
          <w:bCs/>
          <w:color w:val="1C7293"/>
          <w:sz w:val="24"/>
          <w:szCs w:val="24"/>
        </w:rPr>
        <w:t xml:space="preserve">5. Hạn dùng — hai loại</w:t>
      </w:r>
    </w:p>
    <w:p>
      <w:pPr>
        <w:spacing w:after="120"/>
      </w:pPr>
      <w:r>
        <w:rPr>
          <w:rFonts w:ascii="Arial" w:cs="Arial" w:eastAsia="Arial" w:hAnsi="Arial"/>
          <w:sz w:val="20"/>
          <w:szCs w:val="20"/>
        </w:rPr>
        <w:t xml:space="preserve">Có hai loại hạn khác nhau về bản chất pháp lý: 賞味期限 (hạn NGON NHẤT / best-before) và 消費期限 (hạn TIÊU THỤ AN TOÀN / use-by). Nhân viên hiện hay nhầm lẫn khi cảnh báo và xử lý.</w:t>
      </w:r>
    </w:p>
    <w:p>
      <w:pPr>
        <w:pStyle w:val="Heading2"/>
        <w:spacing w:after="100" w:before="180"/>
      </w:pPr>
      <w:r>
        <w:rPr>
          <w:rFonts w:ascii="Arial" w:cs="Arial" w:eastAsia="Arial" w:hAnsi="Arial"/>
          <w:b/>
          <w:bCs/>
          <w:color w:val="1C7293"/>
          <w:sz w:val="24"/>
          <w:szCs w:val="24"/>
        </w:rPr>
        <w:t xml:space="preserve">6. Quy tắc giao theo tập quán thương mại</w:t>
      </w:r>
    </w:p>
    <w:p>
      <w:pPr>
        <w:spacing w:after="120"/>
      </w:pPr>
      <w:r>
        <w:rPr>
          <w:rFonts w:ascii="Arial" w:cs="Arial" w:eastAsia="Arial" w:hAnsi="Arial"/>
          <w:sz w:val="20"/>
          <w:szCs w:val="20"/>
        </w:rPr>
        <w:t xml:space="preserve">Áp dụng quy tắc 1/3 (三分の一ルール): giao cho retailer trong 1/3 đầu của hạn 賞味期限 (納品期限), và bán trong 2/3 (販売期限). Đây là TẬP QUÁN thương mại, KHÔNG phải thời hạn sử dụng thực tế. Một số retailer đã nới sang quy tắc 1/2.</w:t>
      </w:r>
    </w:p>
    <w:p>
      <w:pPr>
        <w:pStyle w:val="Heading2"/>
        <w:spacing w:after="100" w:before="180"/>
      </w:pPr>
      <w:r>
        <w:rPr>
          <w:rFonts w:ascii="Arial" w:cs="Arial" w:eastAsia="Arial" w:hAnsi="Arial"/>
          <w:b/>
          <w:bCs/>
          <w:color w:val="1C7293"/>
          <w:sz w:val="24"/>
          <w:szCs w:val="24"/>
        </w:rPr>
        <w:t xml:space="preserve">7. Cấm đảo ngược ngày (日付逆転禁止)</w:t>
      </w:r>
    </w:p>
    <w:p>
      <w:pPr>
        <w:spacing w:after="120"/>
      </w:pPr>
      <w:r>
        <w:rPr>
          <w:rFonts w:ascii="Arial" w:cs="Arial" w:eastAsia="Arial" w:hAnsi="Arial"/>
          <w:sz w:val="20"/>
          <w:szCs w:val="20"/>
        </w:rPr>
        <w:t xml:space="preserve">Không được giao cho một khách lô có hạn dùng CŨ HƠN lô đã giao trước đó cho CHÍNH khách đó. Việc so sánh phải dựa trên LỊCH SỬ GIAO của từng khách, không so với ngày hôm nay. Hiện kiểm tra thủ công, rất dễ sót.</w:t>
      </w:r>
    </w:p>
    <w:p>
      <w:pPr>
        <w:pStyle w:val="Heading2"/>
        <w:spacing w:after="100" w:before="180"/>
      </w:pPr>
      <w:r>
        <w:rPr>
          <w:rFonts w:ascii="Arial" w:cs="Arial" w:eastAsia="Arial" w:hAnsi="Arial"/>
          <w:b/>
          <w:bCs/>
          <w:color w:val="1C7293"/>
          <w:sz w:val="24"/>
          <w:szCs w:val="24"/>
        </w:rPr>
        <w:t xml:space="preserve">8. Truy xuất nguồn gốc</w:t>
      </w:r>
    </w:p>
    <w:p>
      <w:pPr>
        <w:spacing w:after="120"/>
      </w:pPr>
      <w:r>
        <w:rPr>
          <w:rFonts w:ascii="Arial" w:cs="Arial" w:eastAsia="Arial" w:hAnsi="Arial"/>
          <w:sz w:val="20"/>
          <w:szCs w:val="20"/>
        </w:rPr>
        <w:t xml:space="preserve">Theo luật, truy xuất BẮT BUỘC với gạo (米トレーサビリティ法) và thịt bò (牛トレーサビリティ法). Các mặt hàng khác chỉ khuyến khích. Yuki muốn số hóa để truy vết nhanh khi có sự cố/thu hồi.</w:t>
      </w:r>
    </w:p>
    <w:p>
      <w:pPr>
        <w:pStyle w:val="Heading2"/>
        <w:spacing w:after="100" w:before="180"/>
      </w:pPr>
      <w:r>
        <w:rPr>
          <w:rFonts w:ascii="Arial" w:cs="Arial" w:eastAsia="Arial" w:hAnsi="Arial"/>
          <w:b/>
          <w:bCs/>
          <w:color w:val="1C7293"/>
          <w:sz w:val="24"/>
          <w:szCs w:val="24"/>
        </w:rPr>
        <w:t xml:space="preserve">9. Ghi chép HACCP</w:t>
      </w:r>
    </w:p>
    <w:p>
      <w:pPr>
        <w:spacing w:after="120"/>
      </w:pPr>
      <w:r>
        <w:rPr>
          <w:rFonts w:ascii="Arial" w:cs="Arial" w:eastAsia="Arial" w:hAnsi="Arial"/>
          <w:sz w:val="20"/>
          <w:szCs w:val="20"/>
        </w:rPr>
        <w:t xml:space="preserve">Hiện ghi nhật ký nhiệt độ, vệ sinh và các điểm kiểm soát tới hạn (CCP) trên giấy. Khó tổng hợp báo cáo và dễ thất lạc, không đáp ứng tốt yêu cầu lưu vết.</w:t>
      </w:r>
    </w:p>
    <w:p>
      <w:pPr>
        <w:pStyle w:val="Heading2"/>
        <w:spacing w:after="100" w:before="180"/>
      </w:pPr>
      <w:r>
        <w:rPr>
          <w:rFonts w:ascii="Arial" w:cs="Arial" w:eastAsia="Arial" w:hAnsi="Arial"/>
          <w:b/>
          <w:bCs/>
          <w:color w:val="1C7293"/>
          <w:sz w:val="24"/>
          <w:szCs w:val="24"/>
        </w:rPr>
        <w:t xml:space="preserve">10. Vấn đề chính cần giải quyết</w:t>
      </w:r>
    </w:p>
    <w:p>
      <w:pPr>
        <w:pStyle w:val="ListParagraph"/>
        <w:numPr>
          <w:ilvl w:val="0"/>
          <w:numId w:val="1"/>
        </w:numPr>
        <w:spacing w:after="70"/>
      </w:pPr>
      <w:r>
        <w:rPr>
          <w:rFonts w:ascii="Arial" w:cs="Arial" w:eastAsia="Arial" w:hAnsi="Arial"/>
          <w:b w:val="false"/>
          <w:bCs w:val="false"/>
          <w:sz w:val="20"/>
          <w:szCs w:val="20"/>
        </w:rPr>
        <w:t xml:space="preserve">Sai sót thủ công (FIFO, 日付逆転, nhầm loại hạn).</w:t>
      </w:r>
    </w:p>
    <w:p>
      <w:pPr>
        <w:pStyle w:val="ListParagraph"/>
        <w:numPr>
          <w:ilvl w:val="0"/>
          <w:numId w:val="1"/>
        </w:numPr>
        <w:spacing w:after="70"/>
      </w:pPr>
      <w:r>
        <w:rPr>
          <w:rFonts w:ascii="Arial" w:cs="Arial" w:eastAsia="Arial" w:hAnsi="Arial"/>
          <w:b w:val="false"/>
          <w:bCs w:val="false"/>
          <w:sz w:val="20"/>
          <w:szCs w:val="20"/>
        </w:rPr>
        <w:t xml:space="preserve">Ghi chép HACCP phân tán, khó lưu vết &amp; báo cáo.</w:t>
      </w:r>
    </w:p>
    <w:p>
      <w:pPr>
        <w:pStyle w:val="ListParagraph"/>
        <w:numPr>
          <w:ilvl w:val="0"/>
          <w:numId w:val="1"/>
        </w:numPr>
        <w:spacing w:after="70"/>
      </w:pPr>
      <w:r>
        <w:rPr>
          <w:rFonts w:ascii="Arial" w:cs="Arial" w:eastAsia="Arial" w:hAnsi="Arial"/>
          <w:b w:val="false"/>
          <w:bCs w:val="false"/>
          <w:sz w:val="20"/>
          <w:szCs w:val="20"/>
        </w:rPr>
        <w:t xml:space="preserve">Lịch giao cũ không tuân thủ giới hạn giờ lái 2024.</w:t>
      </w:r>
    </w:p>
    <w:p>
      <w:pPr>
        <w:pStyle w:val="ListParagraph"/>
        <w:numPr>
          <w:ilvl w:val="0"/>
          <w:numId w:val="1"/>
        </w:numPr>
        <w:spacing w:after="70"/>
      </w:pPr>
      <w:r>
        <w:rPr>
          <w:rFonts w:ascii="Arial" w:cs="Arial" w:eastAsia="Arial" w:hAnsi="Arial"/>
          <w:b w:val="false"/>
          <w:bCs w:val="false"/>
          <w:sz w:val="20"/>
          <w:szCs w:val="20"/>
        </w:rPr>
        <w:t xml:space="preserve">Truy xuất chậm khi có sự cố.</w:t>
      </w:r>
    </w:p>
    <w:p>
      <w:r>
        <w:br w:type="page"/>
      </w:r>
    </w:p>
    <w:p>
      <w:pPr>
        <w:pStyle w:val="Heading1"/>
        <w:spacing w:after="120" w:before="240"/>
      </w:pPr>
      <w:r>
        <w:rPr>
          <w:rFonts w:ascii="Arial" w:cs="Arial" w:eastAsia="Arial" w:hAnsi="Arial"/>
          <w:b/>
          <w:bCs/>
          <w:color w:val="1E2761"/>
          <w:sz w:val="30"/>
          <w:szCs w:val="30"/>
        </w:rPr>
        <w:t xml:space="preserve">III. Ràng buộc &amp; quy định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00"/>
      </w:tblGrid>
      <w:tr>
        <w:trPr>
          <w:tblHeader/>
        </w:trPr>
        <w:tc>
          <w:tcPr>
            <w:tcW w:type="dxa" w:w="1700"/>
            <w:shd w:fill="1E2761" w:color="auto" w:val="clear"/>
            <w:tcMar>
              <w:top w:type="dxa" w:w="60"/>
              <w:left w:type="dxa" w:w="90"/>
              <w:bottom w:type="dxa" w:w="60"/>
              <w:right w:type="dxa" w:w="90"/>
            </w:tcMar>
          </w:tcPr>
          <w:p>
            <w:r>
              <w:rPr>
                <w:rFonts w:ascii="Arial" w:cs="Arial" w:eastAsia="Arial" w:hAnsi="Arial"/>
                <w:b/>
                <w:bCs/>
                <w:color w:val="FFFFFF"/>
                <w:sz w:val="18"/>
                <w:szCs w:val="18"/>
              </w:rPr>
              <w:t xml:space="preserve">Hạng mục</w:t>
            </w:r>
          </w:p>
        </w:tc>
        <w:tc>
          <w:tcPr>
            <w:tcW w:type="dxa" w:w="3500"/>
            <w:shd w:fill="1E2761" w:color="auto" w:val="clear"/>
            <w:tcMar>
              <w:top w:type="dxa" w:w="60"/>
              <w:left w:type="dxa" w:w="90"/>
              <w:bottom w:type="dxa" w:w="60"/>
              <w:right w:type="dxa" w:w="90"/>
            </w:tcMar>
          </w:tcPr>
          <w:p>
            <w:r>
              <w:rPr>
                <w:rFonts w:ascii="Arial" w:cs="Arial" w:eastAsia="Arial" w:hAnsi="Arial"/>
                <w:b/>
                <w:bCs/>
                <w:color w:val="FFFFFF"/>
                <w:sz w:val="18"/>
                <w:szCs w:val="18"/>
              </w:rPr>
              <w:t xml:space="preserve">Quy định / nội dung</w:t>
            </w:r>
          </w:p>
        </w:tc>
        <w:tc>
          <w:tcPr>
            <w:tcW w:type="dxa" w:w="3800"/>
            <w:shd w:fill="1E2761" w:color="auto" w:val="clear"/>
            <w:tcMar>
              <w:top w:type="dxa" w:w="60"/>
              <w:left w:type="dxa" w:w="90"/>
              <w:bottom w:type="dxa" w:w="60"/>
              <w:right w:type="dxa" w:w="90"/>
            </w:tcMar>
          </w:tcPr>
          <w:p>
            <w:r>
              <w:rPr>
                <w:rFonts w:ascii="Arial" w:cs="Arial" w:eastAsia="Arial" w:hAnsi="Arial"/>
                <w:b/>
                <w:bCs/>
                <w:color w:val="FFFFFF"/>
                <w:sz w:val="18"/>
                <w:szCs w:val="18"/>
              </w:rPr>
              <w:t xml:space="preserve">Yêu cầu đối với hệ thống</w:t>
            </w:r>
          </w:p>
        </w:tc>
      </w:tr>
      <w:tr>
        <w:tc>
          <w:tcPr>
            <w:tcW w:type="dxa" w:w="17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HACCP</w:t>
            </w:r>
          </w:p>
        </w:tc>
        <w:tc>
          <w:tcPr>
            <w:tcW w:type="dxa" w:w="35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Luật Vệ sinh thực phẩm (食品衛生法) sửa đổi — hoàn toàn bắt buộc từ 6/2021</w:t>
            </w:r>
          </w:p>
        </w:tc>
        <w:tc>
          <w:tcPr>
            <w:tcW w:type="dxa" w:w="38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Cần hệ thống hỗ trợ ghi chép &amp; lưu vết tuân thủ (nhiệt độ, CCP, vệ sinh).</w:t>
            </w:r>
          </w:p>
        </w:tc>
      </w:tr>
      <w:tr>
        <w:tc>
          <w:tcPr>
            <w:tcW w:type="dxa" w:w="17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物流2024年問題</w:t>
            </w:r>
          </w:p>
        </w:tc>
        <w:tc>
          <w:tcPr>
            <w:tcW w:type="dxa" w:w="35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Trần giờ làm thêm tài xế 960h/năm + 改善基準告示 sửa đổi (từ 4/2024)</w:t>
            </w:r>
          </w:p>
        </w:tc>
        <w:tc>
          <w:tcPr>
            <w:tcW w:type="dxa" w:w="38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Lập lịch phải kiểm 拘束時間 (giờ làm gồm chờ), 連続運転時間 (lái liên tục), thời gian nghỉ.</w:t>
            </w:r>
          </w:p>
        </w:tc>
      </w:tr>
      <w:tr>
        <w:tc>
          <w:tcPr>
            <w:tcW w:type="dxa" w:w="17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Hạn dùng</w:t>
            </w:r>
          </w:p>
        </w:tc>
        <w:tc>
          <w:tcPr>
            <w:tcW w:type="dxa" w:w="35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賞味期限 (best-before) ≠ 消費期限 (use-by)</w:t>
            </w:r>
          </w:p>
        </w:tc>
        <w:tc>
          <w:tcPr>
            <w:tcW w:type="dxa" w:w="38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Xử lý &amp; cảnh báo khác nhau; cấu hình theo từng SKU.</w:t>
            </w:r>
          </w:p>
        </w:tc>
      </w:tr>
      <w:tr>
        <w:tc>
          <w:tcPr>
            <w:tcW w:type="dxa" w:w="17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Tập quán 1/3–1/2</w:t>
            </w:r>
          </w:p>
        </w:tc>
        <w:tc>
          <w:tcPr>
            <w:tcW w:type="dxa" w:w="35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三分の一ルール (納品期限/販売期限)</w:t>
            </w:r>
          </w:p>
        </w:tc>
        <w:tc>
          <w:tcPr>
            <w:tcW w:type="dxa" w:w="38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KHÔNG phải hạn dùng thực; chỉ là mốc giao/bán theo thỏa thuận với retailer.</w:t>
            </w:r>
          </w:p>
        </w:tc>
      </w:tr>
      <w:tr>
        <w:tc>
          <w:tcPr>
            <w:tcW w:type="dxa" w:w="17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日付逆転禁止</w:t>
            </w:r>
          </w:p>
        </w:tc>
        <w:tc>
          <w:tcPr>
            <w:tcW w:type="dxa" w:w="35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Cấm giao lô hạn cũ hơn lô đã giao trước đó cho cùng khách</w:t>
            </w:r>
          </w:p>
        </w:tc>
        <w:tc>
          <w:tcPr>
            <w:tcW w:type="dxa" w:w="38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So theo LỊCH SỬ từng khách, không so tĩnh với hôm nay.</w:t>
            </w:r>
          </w:p>
        </w:tc>
      </w:tr>
      <w:tr>
        <w:tc>
          <w:tcPr>
            <w:tcW w:type="dxa" w:w="17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Truy xuất</w:t>
            </w:r>
          </w:p>
        </w:tc>
        <w:tc>
          <w:tcPr>
            <w:tcW w:type="dxa" w:w="35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米トレーサビリティ法 (gạo), 牛トレーサビリティ法 (thịt bò)</w:t>
            </w:r>
          </w:p>
        </w:tc>
        <w:tc>
          <w:tcPr>
            <w:tcW w:type="dxa" w:w="38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Bắt buộc với gạo &amp; thịt bò; mặt hàng khác chỉ khuyến khích.</w:t>
            </w:r>
          </w:p>
        </w:tc>
      </w:tr>
      <w:tr>
        <w:tc>
          <w:tcPr>
            <w:tcW w:type="dxa" w:w="17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Chuỗi lạnh</w:t>
            </w:r>
          </w:p>
        </w:tc>
        <w:tc>
          <w:tcPr>
            <w:tcW w:type="dxa" w:w="35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Quản lý nhiệt độ liên tục (温度管理)</w:t>
            </w:r>
          </w:p>
        </w:tc>
        <w:tc>
          <w:tcPr>
            <w:tcW w:type="dxa" w:w="38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Ghi nhiệt lúc nhận/giao; cảnh báo khi lệch ngưỡng tự công bố.</w:t>
            </w:r>
          </w:p>
        </w:tc>
      </w:tr>
    </w:tbl>
    <w:p>
      <w:pPr>
        <w:spacing w:before="200"/>
      </w:pPr>
    </w:p>
    <w:p>
      <w:pPr>
        <w:pStyle w:val="Heading1"/>
        <w:spacing w:after="120" w:before="240"/>
      </w:pPr>
      <w:r>
        <w:rPr>
          <w:rFonts w:ascii="Arial" w:cs="Arial" w:eastAsia="Arial" w:hAnsi="Arial"/>
          <w:b/>
          <w:bCs/>
          <w:color w:val="1E2761"/>
          <w:sz w:val="30"/>
          <w:szCs w:val="30"/>
        </w:rPr>
        <w:t xml:space="preserve">IV. Bộ số liệu vận hành (phục vụ ước lượng)</w:t>
      </w:r>
    </w:p>
    <w:p>
      <w:pPr>
        <w:spacing w:after="120"/>
      </w:pPr>
      <w:r>
        <w:rPr>
          <w:rFonts w:ascii="Arial" w:cs="Arial" w:eastAsia="Arial" w:hAnsi="Arial"/>
          <w:i/>
          <w:iCs/>
          <w:color w:val="555555"/>
          <w:sz w:val="20"/>
          <w:szCs w:val="20"/>
        </w:rPr>
        <w:t xml:space="preserve">Số liệu mang tính giả lập, dùng làm tiền đề cho ước lượng effort và thiết kế quy mô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E2761" w:color="auto" w:val="clear"/>
            <w:tcMar>
              <w:top w:type="dxa" w:w="60"/>
              <w:left w:type="dxa" w:w="90"/>
              <w:bottom w:type="dxa" w:w="60"/>
              <w:right w:type="dxa" w:w="90"/>
            </w:tcMar>
          </w:tcPr>
          <w:p>
            <w:r>
              <w:rPr>
                <w:rFonts w:ascii="Arial" w:cs="Arial" w:eastAsia="Arial" w:hAnsi="Arial"/>
                <w:b/>
                <w:bCs/>
                <w:color w:val="FFFFFF"/>
                <w:sz w:val="18"/>
                <w:szCs w:val="18"/>
              </w:rPr>
              <w:t xml:space="preserve">Chỉ tiêu</w:t>
            </w:r>
          </w:p>
        </w:tc>
        <w:tc>
          <w:tcPr>
            <w:tcW w:type="dxa" w:w="5800"/>
            <w:shd w:fill="1E2761" w:color="auto" w:val="clear"/>
            <w:tcMar>
              <w:top w:type="dxa" w:w="60"/>
              <w:left w:type="dxa" w:w="90"/>
              <w:bottom w:type="dxa" w:w="60"/>
              <w:right w:type="dxa" w:w="90"/>
            </w:tcMar>
          </w:tcPr>
          <w:p>
            <w:r>
              <w:rPr>
                <w:rFonts w:ascii="Arial" w:cs="Arial" w:eastAsia="Arial" w:hAnsi="Arial"/>
                <w:b/>
                <w:bCs/>
                <w:color w:val="FFFFFF"/>
                <w:sz w:val="18"/>
                <w:szCs w:val="18"/>
              </w:rPr>
              <w:t xml:space="preserve">Giá trị</w:t>
            </w:r>
          </w:p>
        </w:tc>
      </w:tr>
      <w:tr>
        <w:tc>
          <w:tcPr>
            <w:tcW w:type="dxa" w:w="32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Quy mô nhân sự</w:t>
            </w:r>
          </w:p>
        </w:tc>
        <w:tc>
          <w:tcPr>
            <w:tcW w:type="dxa" w:w="58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~30–50 nhân viên; người dùng hệ thống đồng thời ~25</w:t>
            </w:r>
          </w:p>
        </w:tc>
      </w:tr>
      <w:tr>
        <w:tc>
          <w:tcPr>
            <w:tcW w:type="dxa" w:w="32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Cơ sở</w:t>
            </w:r>
          </w:p>
        </w:tc>
        <w:tc>
          <w:tcPr>
            <w:tcW w:type="dxa" w:w="58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1 trung tâm phân phối (DC), 3 khu nhiệt</w:t>
            </w:r>
          </w:p>
        </w:tc>
      </w:tr>
      <w:tr>
        <w:tc>
          <w:tcPr>
            <w:tcW w:type="dxa" w:w="32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Ngưỡng 3 dải nhiệt (Yuki tự công bố)</w:t>
            </w:r>
          </w:p>
        </w:tc>
        <w:tc>
          <w:tcPr>
            <w:tcW w:type="dxa" w:w="58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Thường 15–25°C; Mát 0–10°C (một số SKU 2–5°C); Đông ≤ −18°C</w:t>
            </w:r>
          </w:p>
        </w:tc>
      </w:tr>
      <w:tr>
        <w:tc>
          <w:tcPr>
            <w:tcW w:type="dxa" w:w="32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Số SKU</w:t>
            </w:r>
          </w:p>
        </w:tc>
        <w:tc>
          <w:tcPr>
            <w:tcW w:type="dxa" w:w="58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~1,200 mã (Thường ~300 / Mát ~500 / Đông ~400)</w:t>
            </w:r>
          </w:p>
        </w:tc>
      </w:tr>
      <w:tr>
        <w:tc>
          <w:tcPr>
            <w:tcW w:type="dxa" w:w="32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Nhóm hàng</w:t>
            </w:r>
          </w:p>
        </w:tc>
        <w:tc>
          <w:tcPr>
            <w:tcW w:type="dxa" w:w="58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Rau củ, thịt (gồm thịt bò), cá, sữa, đồ đông lạnh, gạo, thực phẩm chế biến</w:t>
            </w:r>
          </w:p>
        </w:tc>
      </w:tr>
      <w:tr>
        <w:tc>
          <w:tcPr>
            <w:tcW w:type="dxa" w:w="32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Điểm giao (retailer/cửa hàng)</w:t>
            </w:r>
          </w:p>
        </w:tc>
        <w:tc>
          <w:tcPr>
            <w:tcW w:type="dxa" w:w="58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~60 điểm</w:t>
            </w:r>
          </w:p>
        </w:tc>
      </w:tr>
      <w:tr>
        <w:tc>
          <w:tcPr>
            <w:tcW w:type="dxa" w:w="32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Nhà cung cấp</w:t>
            </w:r>
          </w:p>
        </w:tc>
        <w:tc>
          <w:tcPr>
            <w:tcW w:type="dxa" w:w="58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~80</w:t>
            </w:r>
          </w:p>
        </w:tc>
      </w:tr>
      <w:tr>
        <w:tc>
          <w:tcPr>
            <w:tcW w:type="dxa" w:w="32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Đơn xuất</w:t>
            </w:r>
          </w:p>
        </w:tc>
        <w:tc>
          <w:tcPr>
            <w:tcW w:type="dxa" w:w="58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~150 dòng đơn/ngày (~3,500/tháng)</w:t>
            </w:r>
          </w:p>
        </w:tc>
      </w:tr>
      <w:tr>
        <w:tc>
          <w:tcPr>
            <w:tcW w:type="dxa" w:w="32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Phiếu nhập</w:t>
            </w:r>
          </w:p>
        </w:tc>
        <w:tc>
          <w:tcPr>
            <w:tcW w:type="dxa" w:w="58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~40/ngày</w:t>
            </w:r>
          </w:p>
        </w:tc>
      </w:tr>
      <w:tr>
        <w:tc>
          <w:tcPr>
            <w:tcW w:type="dxa" w:w="32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Đội xe</w:t>
            </w:r>
          </w:p>
        </w:tc>
        <w:tc>
          <w:tcPr>
            <w:tcW w:type="dxa" w:w="58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12 xe (6 xe riêng + 6 thuê ngoài); 10 tài xế</w:t>
            </w:r>
          </w:p>
        </w:tc>
      </w:tr>
      <w:tr>
        <w:tc>
          <w:tcPr>
            <w:tcW w:type="dxa" w:w="32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Tuyến giao</w:t>
            </w:r>
          </w:p>
        </w:tc>
        <w:tc>
          <w:tcPr>
            <w:tcW w:type="dxa" w:w="58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~8 tuyến/ngày</w:t>
            </w:r>
          </w:p>
        </w:tc>
      </w:tr>
      <w:tr>
        <w:tc>
          <w:tcPr>
            <w:tcW w:type="dxa" w:w="32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Data logger nhiệt độ</w:t>
            </w:r>
          </w:p>
        </w:tc>
        <w:tc>
          <w:tcPr>
            <w:tcW w:type="dxa" w:w="58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Xuất CSV mỗi 15 phút theo khu nhiệt</w:t>
            </w:r>
          </w:p>
        </w:tc>
      </w:tr>
      <w:tr>
        <w:tc>
          <w:tcPr>
            <w:tcW w:type="dxa" w:w="32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Mùa cao điểm</w:t>
            </w:r>
          </w:p>
        </w:tc>
        <w:tc>
          <w:tcPr>
            <w:tcW w:type="dxa" w:w="58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Cuối năm (tháng 12), お中元/お歳暮</w:t>
            </w:r>
          </w:p>
        </w:tc>
      </w:tr>
    </w:tbl>
    <w:p>
      <w:r>
        <w:br w:type="page"/>
      </w:r>
    </w:p>
    <w:p>
      <w:pPr>
        <w:pStyle w:val="Heading1"/>
        <w:spacing w:after="120" w:before="240"/>
      </w:pPr>
      <w:r>
        <w:rPr>
          <w:rFonts w:ascii="Arial" w:cs="Arial" w:eastAsia="Arial" w:hAnsi="Arial"/>
          <w:b/>
          <w:bCs/>
          <w:color w:val="1E2761"/>
          <w:sz w:val="30"/>
          <w:szCs w:val="30"/>
        </w:rPr>
        <w:t xml:space="preserve">Phụ lục — Thuật ngữ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E2761" w:color="auto" w:val="clear"/>
            <w:tcMar>
              <w:top w:type="dxa" w:w="60"/>
              <w:left w:type="dxa" w:w="90"/>
              <w:bottom w:type="dxa" w:w="60"/>
              <w:right w:type="dxa" w:w="90"/>
            </w:tcMar>
          </w:tcPr>
          <w:p>
            <w:r>
              <w:rPr>
                <w:rFonts w:ascii="Arial" w:cs="Arial" w:eastAsia="Arial" w:hAnsi="Arial"/>
                <w:b/>
                <w:bCs/>
                <w:color w:val="FFFFFF"/>
                <w:sz w:val="18"/>
                <w:szCs w:val="18"/>
              </w:rPr>
              <w:t xml:space="preserve">Thuật ngữ</w:t>
            </w:r>
          </w:p>
        </w:tc>
        <w:tc>
          <w:tcPr>
            <w:tcW w:type="dxa" w:w="6400"/>
            <w:shd w:fill="1E2761" w:color="auto" w:val="clear"/>
            <w:tcMar>
              <w:top w:type="dxa" w:w="60"/>
              <w:left w:type="dxa" w:w="90"/>
              <w:bottom w:type="dxa" w:w="60"/>
              <w:right w:type="dxa" w:w="90"/>
            </w:tcMar>
          </w:tcPr>
          <w:p>
            <w:r>
              <w:rPr>
                <w:rFonts w:ascii="Arial" w:cs="Arial" w:eastAsia="Arial" w:hAnsi="Arial"/>
                <w:b/>
                <w:bCs/>
                <w:color w:val="FFFFFF"/>
                <w:sz w:val="18"/>
                <w:szCs w:val="18"/>
              </w:rPr>
              <w:t xml:space="preserve">Giải thích</w:t>
            </w:r>
          </w:p>
        </w:tc>
      </w:tr>
      <w:tr>
        <w:tc>
          <w:tcPr>
            <w:tcW w:type="dxa" w:w="26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三温度帯</w:t>
            </w:r>
          </w:p>
        </w:tc>
        <w:tc>
          <w:tcPr>
            <w:tcW w:type="dxa" w:w="64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Ba dải nhiệt: thường (常温) / mát (冷蔵・チルド) / đông (冷凍)</w:t>
            </w:r>
          </w:p>
        </w:tc>
      </w:tr>
      <w:tr>
        <w:tc>
          <w:tcPr>
            <w:tcW w:type="dxa" w:w="26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賞味期限</w:t>
            </w:r>
          </w:p>
        </w:tc>
        <w:tc>
          <w:tcPr>
            <w:tcW w:type="dxa" w:w="64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Hạn NGON NHẤT (best-before) — chất lượng tốt nhất trước ngày này</w:t>
            </w:r>
          </w:p>
        </w:tc>
      </w:tr>
      <w:tr>
        <w:tc>
          <w:tcPr>
            <w:tcW w:type="dxa" w:w="26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消費期限</w:t>
            </w:r>
          </w:p>
        </w:tc>
        <w:tc>
          <w:tcPr>
            <w:tcW w:type="dxa" w:w="64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Hạn TIÊU THỤ AN TOÀN (use-by) — không nên dùng sau ngày này</w:t>
            </w:r>
          </w:p>
        </w:tc>
      </w:tr>
      <w:tr>
        <w:tc>
          <w:tcPr>
            <w:tcW w:type="dxa" w:w="26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三分の一ルール</w:t>
            </w:r>
          </w:p>
        </w:tc>
        <w:tc>
          <w:tcPr>
            <w:tcW w:type="dxa" w:w="64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Quy tắc 1/3 — tập quán giao/bán theo tỉ lệ của hạn 賞味期限</w:t>
            </w:r>
          </w:p>
        </w:tc>
      </w:tr>
      <w:tr>
        <w:tc>
          <w:tcPr>
            <w:tcW w:type="dxa" w:w="26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納品期限 / 販売期限</w:t>
            </w:r>
          </w:p>
        </w:tc>
        <w:tc>
          <w:tcPr>
            <w:tcW w:type="dxa" w:w="64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Hạn giao cho retailer / hạn bày bán (theo tập quán, ≠ hạn thực)</w:t>
            </w:r>
          </w:p>
        </w:tc>
      </w:tr>
      <w:tr>
        <w:tc>
          <w:tcPr>
            <w:tcW w:type="dxa" w:w="26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日付逆転禁止</w:t>
            </w:r>
          </w:p>
        </w:tc>
        <w:tc>
          <w:tcPr>
            <w:tcW w:type="dxa" w:w="64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Cấm đảo ngược ngày — không giao lô hạn cũ hơn lô đã giao trước cho cùng khách</w:t>
            </w:r>
          </w:p>
        </w:tc>
      </w:tr>
      <w:tr>
        <w:tc>
          <w:tcPr>
            <w:tcW w:type="dxa" w:w="26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HACCP</w:t>
            </w:r>
          </w:p>
        </w:tc>
        <w:tc>
          <w:tcPr>
            <w:tcW w:type="dxa" w:w="64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Hệ thống phân tích mối nguy &amp; điểm kiểm soát tới hạn</w:t>
            </w:r>
          </w:p>
        </w:tc>
      </w:tr>
      <w:tr>
        <w:tc>
          <w:tcPr>
            <w:tcW w:type="dxa" w:w="26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CCP</w:t>
            </w:r>
          </w:p>
        </w:tc>
        <w:tc>
          <w:tcPr>
            <w:tcW w:type="dxa" w:w="64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Điểm kiểm soát tới hạn (Critical Control Point)</w:t>
            </w:r>
          </w:p>
        </w:tc>
      </w:tr>
      <w:tr>
        <w:tc>
          <w:tcPr>
            <w:tcW w:type="dxa" w:w="26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物流2024年問題</w:t>
            </w:r>
          </w:p>
        </w:tc>
        <w:tc>
          <w:tcPr>
            <w:tcW w:type="dxa" w:w="64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Vấn đề logistics 2024 — giới hạn giờ lái/làm việc tài xế</w:t>
            </w:r>
          </w:p>
        </w:tc>
      </w:tr>
      <w:tr>
        <w:tc>
          <w:tcPr>
            <w:tcW w:type="dxa" w:w="26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拘束時間 / 連続運転時間</w:t>
            </w:r>
          </w:p>
        </w:tc>
        <w:tc>
          <w:tcPr>
            <w:tcW w:type="dxa" w:w="6400"/>
            <w:shd w:fill="EAF1FB"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Giờ làm việc (gồm chờ) / thời gian lái liên tục</w:t>
            </w:r>
          </w:p>
        </w:tc>
      </w:tr>
      <w:tr>
        <w:tc>
          <w:tcPr>
            <w:tcW w:type="dxa" w:w="26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米・牛トレーサビリティ法</w:t>
            </w:r>
          </w:p>
        </w:tc>
        <w:tc>
          <w:tcPr>
            <w:tcW w:type="dxa" w:w="6400"/>
            <w:shd w:fill="FFFFFF" w:color="auto" w:val="clear"/>
            <w:tcMar>
              <w:top w:type="dxa" w:w="60"/>
              <w:left w:type="dxa" w:w="90"/>
              <w:bottom w:type="dxa" w:w="60"/>
              <w:right w:type="dxa" w:w="90"/>
            </w:tcMar>
          </w:tcPr>
          <w:p>
            <w:r>
              <w:rPr>
                <w:rFonts w:ascii="Arial" w:cs="Arial" w:eastAsia="Arial" w:hAnsi="Arial"/>
                <w:b w:val="false"/>
                <w:bCs w:val="false"/>
                <w:color w:val="000000"/>
                <w:sz w:val="18"/>
                <w:szCs w:val="18"/>
              </w:rPr>
              <w:t xml:space="preserve">Luật truy xuất nguồn gốc gạo / thịt bò (bắt buộc)</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2026-10-02T12:44:18.789Z</dcterms:created>
  <dcterms:modified xsi:type="dcterms:W3CDTF">2026-10-02T12:44:18.796Z</dcterms:modified>
</cp:coreProperties>
</file>

<file path=docProps/custom.xml><?xml version="1.0" encoding="utf-8"?>
<Properties xmlns="http://schemas.openxmlformats.org/officeDocument/2006/custom-properties" xmlns:vt="http://schemas.openxmlformats.org/officeDocument/2006/docPropsVTypes"/>
</file>