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69.png" ContentType="image/png"/>
  <Override PartName="/word/media/rId63.png" ContentType="image/png"/>
  <Override PartName="/word/media/rId72.png" ContentType="image/png"/>
  <Override PartName="/word/media/rId66.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ook w:firstRow="0" w:lastRow="0" w:firstColumn="0" w:lastColumn="0" w:noHBand="0" w:noVBand="0" w:val="0000"/>
        <w:jc w:val="start"/>
        <w:tblLayout w:type="fixed"/>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numPr>
          <w:ilvl w:val="0"/>
          <w:numId w:val="1001"/>
        </w:numPr>
        <w:pStyle w:val="Compact"/>
      </w:pPr>
      <w:r>
        <w:t xml:space="preserve">自反性．</w:t>
      </w:r>
    </w:p>
    <w:p>
      <w:pPr>
        <w:numPr>
          <w:ilvl w:val="0"/>
          <w:numId w:val="1001"/>
        </w:numPr>
        <w:pStyle w:val="Compact"/>
      </w:pPr>
      <w:r>
        <w:t xml:space="preserve">反对称性一个和非常非常非常非常非常非常非常非常非常非常非常非常非常非常非常非常非常非常非常非常非常非常非常非常长的句子．</w:t>
      </w:r>
    </w:p>
    <w:p>
      <w:pPr>
        <w:numPr>
          <w:ilvl w:val="0"/>
          <w:numId w:val="1001"/>
        </w:numPr>
        <w:pStyle w:val="Compact"/>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1" w:name="tbl-cartesian-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2" w:name="tbl-power-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Cs/>
          <w:b/>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Cs/>
          <w:i/>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Cs/>
          <w:b/>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Cs/>
          <w:b/>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Cs/>
          <w:i/>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Cs/>
          <w:i/>
        </w:rPr>
        <w:t xml:space="preserve">解</w:t>
      </w:r>
      <w:r>
        <w:t xml:space="preserve">. </w:t>
      </w:r>
      <w:r>
        <w:t xml:space="preserve">这是一个解．</w:t>
      </w:r>
    </w:p>
    <w:p>
      <w:pPr>
        <w:pStyle w:val="a0"/>
      </w:pPr>
      <w:r>
        <w:rPr>
          <w:iCs/>
          <w:i/>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ook w:firstRow="0" w:lastRow="0" w:firstColumn="0" w:lastColumn="0" w:noHBand="0" w:noVBand="0" w:val="0000"/>
        <w:jc w:val="start"/>
        <w:tblLayout w:type="fixed"/>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4" w:name="tbl-light-on-1"/>
                <w:bookmarkStart w:id="43" w:name="tbl-light-on-1"/>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6" w:name="tbl-light-on-2"/>
                <w:bookmarkStart w:id="45" w:name="tbl-light-on-2"/>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59" w:name="diagrams"/>
    <w:p>
      <w:pPr>
        <w:pStyle w:val="2"/>
      </w:pPr>
      <w:r>
        <w:t xml:space="preserve">6 Diagrams</w:t>
      </w:r>
    </w:p>
    <w:p>
      <w:pPr>
        <w:pStyle w:val="FirstParagraph"/>
      </w:pPr>
      <w:r>
        <w:t xml:space="preserve">Quarto 原生支持使用 GraphViz 或 Mermaid 绘制有向图或流程图．我们还额外支持基于 dvisvgm 的 TikZ 或</w:t>
      </w:r>
      <w:r>
        <w:t xml:space="preserve"> </w:t>
      </w:r>
      <w:r>
        <w:rPr>
          <w:rStyle w:val="VerbatimChar"/>
        </w:rPr>
        <w:t xml:space="preserve">tikzcd</w:t>
      </w:r>
      <w:r>
        <w:t xml:space="preserve"> </w:t>
      </w:r>
      <w:r>
        <w:t xml:space="preserve">渲染！</w:t>
      </w:r>
    </w:p>
    <w:tbl>
      <w:tblPr>
        <w:tblStyle w:val="Table"/>
        <w:tblW w:type="pct" w:w="5000"/>
        <w:tblLook w:firstRow="0" w:lastRow="0" w:firstColumn="0" w:lastColumn="0" w:noHBand="0" w:noVBand="0" w:val="0000"/>
        <w:jc w:val="start"/>
        <w:tblLayout w:type="fixed"/>
      </w:tblPr>
      <w:tblGrid>
        <w:gridCol w:w="7920"/>
      </w:tblGrid>
      <w:tr>
        <w:tc>
          <w:tcPr/>
          <w:bookmarkStart w:id="58" w:name="fig-tikzcd"/>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bookmarkEnd w:id="59"/>
    <w:bookmarkStart w:id="61" w:name="layout"/>
    <w:p>
      <w:pPr>
        <w:pStyle w:val="2"/>
      </w:pPr>
      <w:r>
        <w:t xml:space="preserve">7 Layout</w:t>
      </w:r>
    </w:p>
    <w:p>
      <w:pPr>
        <w:pStyle w:val="FirstParagraph"/>
      </w:pPr>
      <w:r>
        <w:t xml:space="preserve">如</w:t>
      </w:r>
      <w:r>
        <w:t xml:space="preserve"> </w:t>
      </w:r>
      <w:hyperlink r:id="rId60">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ook w:firstRow="1" w:lastRow="0" w:firstColumn="0" w:lastColumn="0" w:noHBand="0" w:noVBand="0" w:val="0020"/>
        <w:jc w:val="start"/>
        <w:tblLayout w:type="fixed"/>
      </w:tblPr>
      <w:tblGrid>
        <w:gridCol w:w="1131"/>
        <w:gridCol w:w="1131"/>
        <w:gridCol w:w="1131"/>
        <w:gridCol w:w="1508"/>
        <w:gridCol w:w="1508"/>
        <w:gridCol w:w="1508"/>
      </w:tblGrid>
      <w:tr>
        <w:trPr>
          <w:tblHeader w:val="true"/>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1"/>
    <w:bookmarkStart w:id="62"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2"/>
    <w:bookmarkStart w:id="81"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0"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Program Files\Quarto\share\formats\docx\note.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Program File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C:\Program Files\Quarto\share\formats\docx\important.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C:\Program Files\Quarto\share\formats\docx\tip.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Program Files\Quarto\share\formats\docx\caution.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78" name="Picture"/>
                  <a:graphic>
                    <a:graphicData uri="http://schemas.openxmlformats.org/drawingml/2006/picture">
                      <pic:pic>
                        <pic:nvPicPr>
                          <pic:cNvPr descr="C:\Program Files\Quarto\share\formats\docx\caution.png" id="79"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0"/>
    <w:bookmarkEnd w:id="81"/>
    <w:bookmarkStart w:id="94" w:name="引用脚注测试"/>
    <w:p>
      <w:pPr>
        <w:pStyle w:val="2"/>
      </w:pPr>
      <w:r>
        <w:t xml:space="preserve">10 引用、脚注测试</w:t>
      </w:r>
    </w:p>
    <w:p>
      <w:pPr>
        <w:pStyle w:val="FirstParagraph"/>
      </w:pPr>
      <w:r>
        <w:t xml:space="preserve">这是一个脚注</w:t>
      </w:r>
      <w:r>
        <w:rPr>
          <w:rStyle w:val="ad"/>
        </w:rPr>
        <w:footnoteReference w:id="82"/>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3" w:name="refs"/>
    <w:bookmarkStart w:id="85"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4">
        <w:r>
          <w:rPr>
            <w:rStyle w:val="ae"/>
          </w:rPr>
          <w:t xml:space="preserve">https://std.samr.gov.cn/gb/search/gbDetailed?id=A47A713B767814ABE05397BE0A0ABB25</w:t>
        </w:r>
      </w:hyperlink>
      <w:r>
        <w:t xml:space="preserve">, 2020年.</w:t>
      </w:r>
    </w:p>
    <w:bookmarkEnd w:id="85"/>
    <w:bookmarkStart w:id="86"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Cs/>
          <w:i/>
        </w:rPr>
        <w:t xml:space="preserve">Panoramic Research, Inc, Palo Alto, California., Technical Report PRI A</w:t>
      </w:r>
      <w:r>
        <w:t xml:space="preserve">, 卷 19, 页 1965, 1965.</w:t>
      </w:r>
    </w:p>
    <w:bookmarkEnd w:id="86"/>
    <w:bookmarkStart w:id="87"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Cs/>
          <w:i/>
        </w:rPr>
        <w:t xml:space="preserve">工程数学学报</w:t>
      </w:r>
      <w:r>
        <w:t xml:space="preserve">, 卷 38, 期 4, 页 19, 2021.</w:t>
      </w:r>
    </w:p>
    <w:bookmarkEnd w:id="87"/>
    <w:bookmarkStart w:id="88"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Cs/>
          <w:i/>
        </w:rPr>
        <w:t xml:space="preserve">Journal of Cognitive Neuroscience</w:t>
      </w:r>
      <w:r>
        <w:t xml:space="preserve">, 卷 3, 期 1, 页 71–86.</w:t>
      </w:r>
    </w:p>
    <w:bookmarkEnd w:id="88"/>
    <w:bookmarkStart w:id="89"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Cs/>
          <w:i/>
        </w:rPr>
        <w:t xml:space="preserve">Proceedings Eighth IEEE International Conference on Computer Vision. ICCV 2001</w:t>
      </w:r>
      <w:r>
        <w:t xml:space="preserve">, IEEE, 2001, 页 270–275.</w:t>
      </w:r>
    </w:p>
    <w:bookmarkEnd w:id="89"/>
    <w:bookmarkStart w:id="90"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Cs/>
          <w:i/>
        </w:rPr>
        <w:t xml:space="preserve">European conference on computer vision</w:t>
      </w:r>
      <w:r>
        <w:t xml:space="preserve">, Springer, 2004, 页 469–481.</w:t>
      </w:r>
    </w:p>
    <w:bookmarkEnd w:id="90"/>
    <w:bookmarkStart w:id="91"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Cs/>
          <w:i/>
        </w:rPr>
        <w:t xml:space="preserve">Proceedings of the IEEE Computer Vision and Pattern Recognition (CVPR)</w:t>
      </w:r>
      <w:r>
        <w:t xml:space="preserve">, 页 6.</w:t>
      </w:r>
    </w:p>
    <w:bookmarkEnd w:id="91"/>
    <w:bookmarkStart w:id="92"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Cs/>
          <w:i/>
        </w:rPr>
        <w:t xml:space="preserve">现代法学</w:t>
      </w:r>
      <w:r>
        <w:t xml:space="preserve">, 卷 42, 期 4, 页 18, 2020.</w:t>
      </w:r>
    </w:p>
    <w:bookmarkEnd w:id="92"/>
    <w:bookmarkEnd w:id="93"/>
    <w:bookmarkEnd w:id="9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2">
    <w:p>
      <w:pPr>
        <w:pStyle w:val="aa"/>
      </w:pPr>
      <w:r>
        <w:rPr>
          <w:rStyle w:val="ad"/>
        </w:rPr>
        <w:footnoteRef/>
      </w:r>
      <w:r>
        <w:t xml:space="preserve"> </w:t>
      </w:r>
      <w:r>
        <w:t xml:space="preserve">参见</w:t>
      </w:r>
      <w:r>
        <w:t xml:space="preserve"> </w:t>
      </w:r>
      <w:hyperlink r:id="rId83">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0" Target="https://quarto.org/docs/authoring/article-layout.html" TargetMode="External" /><Relationship Type="http://schemas.openxmlformats.org/officeDocument/2006/relationships/hyperlink" Id="rId83" Target="https://quarto.org/docs/authoring/footnotes-and-citations.html" TargetMode="External" /><Relationship Type="http://schemas.openxmlformats.org/officeDocument/2006/relationships/hyperlink" Id="rId84"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0" Target="https://quarto.org/docs/authoring/article-layout.html" TargetMode="External" /><Relationship Type="http://schemas.openxmlformats.org/officeDocument/2006/relationships/hyperlink" Id="rId83" Target="https://quarto.org/docs/authoring/footnotes-and-citations.html" TargetMode="External" /><Relationship Type="http://schemas.openxmlformats.org/officeDocument/2006/relationships/hyperlink" Id="rId84"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2024-06-23T14:53:56Z</dcterms:created>
  <dcterms:modified xsi:type="dcterms:W3CDTF">2024-06-23T14:53:56Z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2024-03-30</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