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72.png" ContentType="image/png"/>
  <Override PartName="/word/media/rId66.png" ContentType="image/png"/>
  <Override PartName="/word/media/rId75.png" ContentType="image/png"/>
  <Override PartName="/word/media/rId69.png" ContentType="image/png"/>
  <Override PartName="/word/media/rId49.png" ContentType="image/png"/>
  <Override PartName="/word/media/rId53.png" ContentType="image/png"/>
  <Override PartName="/word/media/rId40.png" ContentType="image/png"/>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w:t>
      </w:r>
      <w:r>
        <w:t xml:space="preserve">-cnart </w:t>
      </w:r>
      <w:r>
        <w:rPr>
          <w:rFonts w:hint="eastAsia"/>
        </w:rPr>
        <w:t xml:space="preserve">测试文档</w:t>
      </w:r>
    </w:p>
    <w:p>
      <w:pPr>
        <w:pStyle w:val="a6"/>
      </w:pPr>
      <w:r>
        <w:rPr>
          <w:rFonts w:hint="eastAsia"/>
        </w:rPr>
        <w:t xml:space="preserve">这是副标题</w:t>
      </w:r>
    </w:p>
    <w:p>
      <w:pPr>
        <w:pStyle w:val="Author"/>
      </w:pPr>
      <w:r>
        <w:t xml:space="preserve">sun123zxy</w:t>
      </w:r>
    </w:p>
    <w:p>
      <w:pPr>
        <w:pStyle w:val="Author"/>
      </w:pPr>
      <w:r>
        <w:rPr>
          <w:rFonts w:hint="eastAsia"/>
        </w:rPr>
        <w:t xml:space="preserve">佚名</w:t>
      </w:r>
    </w:p>
    <w:p>
      <w:pPr>
        <w:pStyle w:val="a7"/>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t xml:space="preserve">$\SunQuarTeX$</w:t>
      </w:r>
      <w:r>
        <w:t xml:space="preserve"> </w:t>
      </w:r>
      <w:r>
        <w:rPr>
          <w:rFonts w:hint="eastAsia"/>
        </w:rPr>
        <w:t xml:space="preserve">的具体使用方法参见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sunquartex"/>
    <w:p>
      <w:pPr>
        <w:pStyle w:val="2"/>
      </w:pPr>
      <w:r>
        <w:t xml:space="preserve">2 </w:t>
      </w:r>
      <w:r>
        <w:rPr>
          <w:rFonts w:hint="eastAsia"/>
        </w:rPr>
        <w:t xml:space="preserve">文章结构测试</w:t>
      </w:r>
      <w:r>
        <w:t xml:space="preserve"> </w:t>
      </w:r>
      <w:r>
        <w:t xml:space="preserve">$\SunQuarTeX$</w:t>
      </w:r>
    </w:p>
    <w:p>
      <w:pPr>
        <w:pStyle w:val="FirstParagraph"/>
      </w:pPr>
      <w:r>
        <w:rPr>
          <w:rFonts w:hint="eastAsia"/>
        </w:rPr>
        <w:t xml:space="preserve">这一节测试文章结构．</w:t>
      </w:r>
    </w:p>
    <w:bookmarkStart w:id="25" w:name="文章分-sunquartex-节"/>
    <w:p>
      <w:pPr>
        <w:pStyle w:val="3"/>
      </w:pPr>
      <w:r>
        <w:t xml:space="preserve">2.1 </w:t>
      </w:r>
      <w:r>
        <w:rPr>
          <w:rFonts w:hint="eastAsia"/>
        </w:rPr>
        <w:t xml:space="preserve">文章分</w:t>
      </w:r>
      <w:r>
        <w:t xml:space="preserve"> </w:t>
      </w:r>
      <w:r>
        <w:t xml:space="preserve">$\SunQuarTeX$</w:t>
      </w:r>
      <w:r>
        <w:t xml:space="preserve"> </w:t>
      </w:r>
      <w:r>
        <w:rPr>
          <w:rFonts w:hint="eastAsia"/>
        </w:rPr>
        <w:t xml:space="preserve">节</w:t>
      </w:r>
    </w:p>
    <w:p>
      <w:pPr>
        <w:pStyle w:val="FirstParagraph"/>
      </w:pPr>
      <w:r>
        <w:rPr>
          <w:rFonts w:hint="eastAsia"/>
        </w:rPr>
        <w:t xml:space="preserve">非常非常非常非常非常非</w:t>
      </w:r>
      <w:r>
        <w:rPr>
          <w:rFonts w:hint="eastAsia"/>
          <w:i/>
          <w:iCs/>
        </w:rPr>
        <w:t xml:space="preserve">常非常非常非</w:t>
      </w:r>
      <w:r>
        <w:rPr>
          <w:rFonts w:hint="eastAsia"/>
        </w:rPr>
        <w:t xml:space="preserve">常非常非常非常非常</w:t>
      </w:r>
      <w:r>
        <w:rPr>
          <w:rFonts w:hint="eastAsia"/>
          <w:b/>
          <w:bCs/>
        </w:rPr>
        <w:t xml:space="preserve">非常非常非常</w:t>
      </w:r>
      <w:r>
        <w:rPr>
          <w:rFonts w:hint="eastAsia"/>
        </w:rPr>
        <w:t xml:space="preserve">非常非常非常非常非常非常非常非常长的句子．</w:t>
      </w:r>
    </w:p>
    <w:bookmarkStart w:id="24" w:name="sec-test"/>
    <w:p>
      <w:pPr>
        <w:pStyle w:val="4"/>
      </w:pPr>
      <w:r>
        <w:rPr>
          <w:rFonts w:hint="eastAsia"/>
        </w:rPr>
        <w:t xml:space="preserve">文章分分</w:t>
      </w:r>
      <w:r>
        <w:t xml:space="preserve"> </w:t>
      </w:r>
      <w:r>
        <w:t xml:space="preserve">$\SunQuarTeX$</w:t>
      </w:r>
      <w:r>
        <w:t xml:space="preserve"> </w:t>
      </w:r>
      <w:r>
        <w:rPr>
          <w:rFonts w:hint="eastAsia"/>
        </w:rPr>
        <w:t xml:space="preserve">节</w:t>
      </w:r>
    </w:p>
    <w:p>
      <w:pPr>
        <w:pStyle w:val="FirstParagraph"/>
      </w:pPr>
      <w:r>
        <w:t xml:space="preserve">Quarto </w:t>
      </w:r>
      <w:r>
        <w:rPr>
          <w:rFonts w:hint="eastAsia"/>
        </w:rPr>
        <w:t xml:space="preserve">支持交叉引用．比如这一节的标题就已经被打上了标签．</w:t>
      </w:r>
    </w:p>
    <w:bookmarkStart w:id="23" w:name="分分分-sunquartex-节"/>
    <w:p>
      <w:pPr>
        <w:pStyle w:val="5"/>
      </w:pPr>
      <w:r>
        <w:rPr>
          <w:rFonts w:hint="eastAsia"/>
        </w:rPr>
        <w:t xml:space="preserve">分分分</w:t>
      </w:r>
      <w:r>
        <w:t xml:space="preserve"> </w:t>
      </w:r>
      <w:r>
        <w:t xml:space="preserve">$\SunQuarTeX$</w:t>
      </w:r>
      <w:r>
        <w:t xml:space="preserve"> </w:t>
      </w:r>
      <w:r>
        <w:rPr>
          <w:rFonts w:hint="eastAsia"/>
        </w:rPr>
        <w:t xml:space="preserve">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sunquartex-节"/>
    <w:p>
      <w:pPr>
        <w:pStyle w:val="6"/>
      </w:pPr>
      <w:r>
        <w:rPr>
          <w:rFonts w:hint="eastAsia"/>
        </w:rPr>
        <w:t xml:space="preserve">分分分分</w:t>
      </w:r>
      <w:r>
        <w:t xml:space="preserve"> </w:t>
      </w:r>
      <w:r>
        <w:t xml:space="preserve">$\SunQuarTeX$</w:t>
      </w:r>
      <w:r>
        <w:t xml:space="preserve"> </w:t>
      </w:r>
      <w:r>
        <w:rPr>
          <w:rFonts w:hint="eastAsia"/>
        </w:rPr>
        <w:t xml:space="preserve">节</w:t>
      </w:r>
    </w:p>
    <w:p>
      <w:pPr>
        <w:pStyle w:val="FirstParagraph"/>
      </w:pPr>
      <w:r>
        <w:rPr>
          <w:rFonts w:hint="eastAsia"/>
        </w:rPr>
        <w:t xml:space="preserve">这是最小的一级了．</w:t>
      </w:r>
    </w:p>
    <w:p>
      <w:pPr>
        <w:pStyle w:val="a0"/>
      </w:pPr>
      <w:r>
        <w:t xml:space="preserve">$$
    \SunQuarTeX
    $$</w:t>
      </w:r>
    </w:p>
    <w:bookmarkEnd w:id="22"/>
    <w:bookmarkEnd w:id="23"/>
    <w:bookmarkEnd w:id="24"/>
    <w:bookmarkEnd w:id="25"/>
    <w:bookmarkEnd w:id="26"/>
    <w:bookmarkStart w:id="35" w:name="图片表格列表测试"/>
    <w:p>
      <w:pPr>
        <w:pStyle w:val="2"/>
      </w:pPr>
      <w:r>
        <w:t xml:space="preserve">3 </w:t>
      </w:r>
      <w:r>
        <w:rPr>
          <w:rFonts w:hint="eastAsia"/>
        </w:rPr>
        <w:t xml:space="preserve">图片、表格、列表测试</w:t>
      </w:r>
    </w:p>
    <w:tbl>
      <w:tblPr>
        <w:tblStyle w:val="Table"/>
        <w:tblW w:type="pct" w:w="5000"/>
        <w:tblLayout w:type="fixed"/>
        <w:tblLook w:firstRow="0" w:lastRow="0" w:firstColumn="0" w:lastColumn="0" w:noHBand="0" w:noVBand="0" w:val="0000"/>
      </w:tblPr>
      <w:tblGrid>
        <w:gridCol w:w="7920"/>
      </w:tblGrid>
      <w:tr>
        <w:tc>
          <w:tcPr/>
          <w:bookmarkStart w:id="30" w:name="fig-figure"/>
          <w:p>
            <w:pPr>
              <w:pStyle w:val="Compact"/>
              <w:jc w:val="center"/>
            </w:pPr>
            <w:r>
              <w:drawing>
                <wp:inline>
                  <wp:extent cx="5486400" cy="1427256"/>
                  <wp:effectExtent b="0" l="0" r="0" t="0"/>
                  <wp:docPr descr="" title="" id="28" name="Picture"/>
                  <a:graphic>
                    <a:graphicData uri="http://schemas.openxmlformats.org/drawingml/2006/picture">
                      <pic:pic>
                        <pic:nvPicPr>
                          <pic:cNvPr descr="figure.png" id="29" name="Picture"/>
                          <pic:cNvPicPr>
                            <a:picLocks noChangeArrowheads="1" noChangeAspect="1"/>
                          </pic:cNvPicPr>
                        </pic:nvPicPr>
                        <pic:blipFill>
                          <a:blip r:embed="rId27"/>
                          <a:stretch>
                            <a:fillRect/>
                          </a:stretch>
                        </pic:blipFill>
                        <pic:spPr bwMode="auto">
                          <a:xfrm>
                            <a:off x="0" y="0"/>
                            <a:ext cx="5486400" cy="1427256"/>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figure">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p>
      <w:pPr>
        <w:pStyle w:val="a0"/>
      </w:pPr>
      <w:r>
        <w:rPr>
          <w:rFonts w:hint="eastAsia"/>
        </w:rPr>
        <w:t xml:space="preserve">我们支持</w:t>
      </w:r>
      <w:r>
        <w:t xml:space="preserve"> Markdown grid style </w:t>
      </w:r>
      <w:r>
        <w:rPr>
          <w:rFonts w:hint="eastAsia"/>
        </w:rPr>
        <w:t xml:space="preserve">的表格．</w:t>
      </w:r>
    </w:p>
    <w:tbl>
      <w:tblPr>
        <w:tblStyle w:val="Table"/>
        <w:tblW w:type="pct" w:w="1528"/>
        <w:tblLayout w:type="fixed"/>
        <w:tblLook w:firstRow="0" w:lastRow="0" w:firstColumn="0" w:lastColumn="0" w:noHBand="0" w:noVBand="0" w:val="0000"/>
      </w:tblPr>
      <w:tblGrid>
        <w:gridCol w:w="440"/>
        <w:gridCol w:w="550"/>
        <w:gridCol w:w="550"/>
        <w:gridCol w:w="440"/>
        <w:gridCol w:w="440"/>
      </w:tblGrid>
      <w:tr>
        <w:tc>
          <w:tcPr/>
          <w:p>
            <w:pPr>
              <w:pStyle w:val="Compact"/>
            </w:pPr>
            <w:r>
              <w:t xml:space="preserve">a</w:t>
            </w:r>
          </w:p>
        </w:tc>
        <w:tc>
          <w:tcPr>
            <w:vMerge w:val="restart"/>
          </w:tcPr>
          <w:p>
            <w:pPr>
              <w:pStyle w:val="Compact"/>
            </w:pPr>
            <w:r>
              <w:t xml:space="preserve">be</w:t>
            </w:r>
          </w:p>
        </w:tc>
        <w:tc>
          <w:tcPr/>
          <w:p>
            <w:pPr>
              <w:pStyle w:val="Compact"/>
            </w:pPr>
            <w:r>
              <w:t xml:space="preserve">c</w:t>
            </w:r>
          </w:p>
        </w:tc>
        <w:tc>
          <w:tcPr/>
          <w:p>
            <w:pPr>
              <w:pStyle w:val="Compact"/>
            </w:pPr>
            <w:r>
              <w:t xml:space="preserve">d</w:t>
            </w:r>
          </w:p>
        </w:tc>
        <w:tc>
          <w:tcPr/>
          <w:p>
            <w:pPr>
              <w:pStyle w:val="Compact"/>
            </w:pPr>
            <w:r>
              <w:t xml:space="preserve">e</w:t>
            </w:r>
          </w:p>
        </w:tc>
      </w:tr>
      <w:tr>
        <w:tc>
          <w:tcPr/>
          <w:p>
            <w:pPr>
              <w:pStyle w:val="Compact"/>
            </w:pPr>
            <w:r>
              <w:t xml:space="preserve">f</w:t>
            </w:r>
          </w:p>
        </w:tc>
        <w:tc>
          <w:tcPr>
            <w:gridSpan w:val="1"/>
            <w:vMerge w:val="continue"/>
          </w:tcPr>
          <w:p>
            <w:pPr/>
          </w:p>
        </w:tc>
        <w:tc>
          <w:tcPr/>
          <w:p>
            <w:pPr>
              <w:pStyle w:val="Compact"/>
            </w:pPr>
            <w:r>
              <w:t xml:space="preserve">ew</w:t>
            </w:r>
          </w:p>
        </w:tc>
        <w:tc>
          <w:tcPr/>
          <w:p>
            <w:pPr>
              <w:pStyle w:val="Compact"/>
            </w:pPr>
            <w:r>
              <w:t xml:space="preserve">a</w:t>
            </w:r>
          </w:p>
        </w:tc>
        <w:tc>
          <w:tcPr/>
          <w:p>
            <w:pPr>
              <w:pStyle w:val="Compact"/>
            </w:pPr>
            <w:r>
              <w:t xml:space="preserve">b</w:t>
            </w:r>
          </w:p>
        </w:tc>
      </w:tr>
      <w:tr>
        <w:tc>
          <w:tcPr/>
          <w:p>
            <w:pPr>
              <w:pStyle w:val="Compact"/>
            </w:pPr>
            <w:r>
              <w:t xml:space="preserve">c</w:t>
            </w:r>
          </w:p>
        </w:tc>
        <w:tc>
          <w:tcPr/>
          <w:p>
            <w:pPr>
              <w:pStyle w:val="Compact"/>
            </w:pPr>
            <w:r>
              <w:t xml:space="preserve">d</w:t>
            </w:r>
          </w:p>
        </w:tc>
        <w:tc>
          <w:tcPr>
            <w:gridSpan w:val="2"/>
          </w:tcPr>
          <w:p>
            <w:pPr>
              <w:pStyle w:val="Compact"/>
            </w:pPr>
            <w:r>
              <w:t xml:space="preserve">ewfe</w:t>
            </w:r>
          </w:p>
        </w:tc>
        <w:tc>
          <w:tcPr/>
          <w:p>
            <w:pPr>
              <w:pStyle w:val="Compact"/>
            </w:pPr>
            <w:r>
              <w:t xml:space="preserve">e</w:t>
            </w:r>
          </w:p>
        </w:tc>
      </w:tr>
      <w:tr>
        <w:tc>
          <w:tcPr/>
          <w:p>
            <w:pPr>
              <w:pStyle w:val="Compact"/>
            </w:pPr>
            <w:r>
              <w:t xml:space="preserve">f</w:t>
            </w:r>
          </w:p>
        </w:tc>
        <w:tc>
          <w:tcPr/>
          <w:p>
            <w:pPr>
              <w:pStyle w:val="Compact"/>
            </w:pPr>
            <w:r>
              <w:t xml:space="preserve">g</w:t>
            </w:r>
          </w:p>
        </w:tc>
        <w:tc>
          <w:tcPr/>
          <w:p>
            <w:pPr>
              <w:pStyle w:val="Compact"/>
            </w:pPr>
            <w:r>
              <w:t xml:space="preserve">h</w:t>
            </w:r>
          </w:p>
        </w:tc>
        <w:tc>
          <w:tcPr/>
          <w:p>
            <w:pPr>
              <w:pStyle w:val="Compact"/>
            </w:pPr>
            <w:r>
              <w:t xml:space="preserve">r</w:t>
            </w:r>
          </w:p>
        </w:tc>
        <w:tc>
          <w:tcPr/>
          <w:p>
            <w:pPr>
              <w:pStyle w:val="Compact"/>
            </w:pPr>
            <w:r>
              <w:t xml:space="preserve">e</w:t>
            </w:r>
          </w:p>
        </w:tc>
      </w:tr>
    </w:tbl>
    <w:p>
      <w:pPr>
        <w:pStyle w:val="a0"/>
      </w:pPr>
      <w:r>
        <w:rPr>
          <w:rFonts w:hint="eastAsia"/>
        </w:rPr>
        <w:t xml:space="preserve">我们还支持</w:t>
      </w:r>
      <w:r>
        <w:t xml:space="preserve"> </w:t>
      </w:r>
      <w:hyperlink r:id="rId34">
        <w:r>
          <w:rPr>
            <w:rStyle w:val="ae"/>
          </w:rPr>
          <w:t xml:space="preserve">RST-style list tables</w:t>
        </w:r>
      </w:hyperlink>
      <w:r>
        <w:rPr>
          <w:rFonts w:hint="eastAsia"/>
        </w:rPr>
        <w:t xml:space="preserve">．该格式可以比较方便地合并单元格．</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row 1, column 1</w:t>
            </w:r>
          </w:p>
        </w:tc>
        <w:tc>
          <w:tcPr/>
          <w:p>
            <w:pPr>
              <w:pStyle w:val="Compact"/>
              <w:jc w:val="center"/>
            </w:pPr>
            <w:r>
              <w:t xml:space="preserve">row 1, column 2</w:t>
            </w:r>
          </w:p>
        </w:tc>
        <w:tc>
          <w:tcPr/>
          <w:p>
            <w:pPr>
              <w:pStyle w:val="Compact"/>
              <w:jc w:val="center"/>
            </w:pPr>
            <w:r>
              <w:t xml:space="preserve">row 1, column 3</w:t>
            </w:r>
          </w:p>
        </w:tc>
      </w:tr>
      <w:tr>
        <w:tc>
          <w:tcPr/>
          <w:p>
            <w:pPr>
              <w:pStyle w:val="Compact"/>
              <w:jc w:val="center"/>
            </w:pPr>
            <w:r>
              <w:t xml:space="preserve">row 2, column 1</w:t>
            </w:r>
          </w:p>
        </w:tc>
        <w:tc>
          <w:tcPr>
            <w:gridSpan w:val="2"/>
          </w:tcPr>
          <w:p>
            <w:pPr>
              <w:pStyle w:val="Compact"/>
              <w:jc w:val="center"/>
            </w:pPr>
            <w:r>
              <w:t xml:space="preserve"> </w:t>
            </w:r>
            <w:r>
              <w:t xml:space="preserve">row 2, column 2–3</w:t>
            </w:r>
          </w:p>
        </w:tc>
      </w:tr>
      <w:tr>
        <w:tc>
          <w:tcPr/>
          <w:p>
            <w:pPr>
              <w:pStyle w:val="Compact"/>
              <w:jc w:val="center"/>
            </w:pPr>
            <w:r>
              <w:t xml:space="preserve">row 3, column 1</w:t>
            </w:r>
          </w:p>
        </w:tc>
        <w:tc>
          <w:tcPr/>
          <w:p>
            <w:pPr>
              <w:pStyle w:val="Compact"/>
              <w:jc w:val="center"/>
            </w:pPr>
            <w:r>
              <w:t xml:space="preserve">row 3, column 2</w:t>
            </w:r>
          </w:p>
        </w:tc>
        <w:tc>
          <w:tcPr/>
          <w:p>
            <w:pPr>
              <w:pStyle w:val="Compact"/>
              <w:jc w:val="center"/>
            </w:pPr>
            <w:r>
              <w:t xml:space="preserve">row 3, column 3</w:t>
            </w:r>
          </w:p>
        </w:tc>
      </w:tr>
    </w:tbl>
    <w:bookmarkEnd w:id="35"/>
    <w:bookmarkStart w:id="39"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sepChr m:val=""/>
              <m:end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6"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6"/>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sepChr m:val=""/>
                    <m:endChr m:val=")"/>
                    <m:grow/>
                  </m:dPr>
                  <m:e>
                    <m:r>
                      <m:t>x</m:t>
                    </m:r>
                  </m:e>
                </m:d>
                <m:r>
                  <m:rPr>
                    <m:sty m:val="p"/>
                  </m:rPr>
                  <m:t>,</m:t>
                </m:r>
                <m:r>
                  <m:t>g</m:t>
                </m:r>
                <m:d>
                  <m:dPr>
                    <m:begChr m:val="("/>
                    <m:sepChr m:val=""/>
                    <m:end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证明</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证明</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7"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7"/>
    <w:bookmarkStart w:id="38"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8"/>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9"/>
    <w:bookmarkStart w:id="58"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3" w:name="fig-polar"/>
          <w:p>
            <w:pPr>
              <w:pStyle w:val="Compact"/>
              <w:jc w:val="center"/>
            </w:pPr>
            <w:r>
              <w:drawing>
                <wp:inline>
                  <wp:extent cx="3571875" cy="3476625"/>
                  <wp:effectExtent b="0" l="0" r="0" t="0"/>
                  <wp:docPr descr="" title="" id="41" name="Picture"/>
                  <a:graphic>
                    <a:graphicData uri="http://schemas.openxmlformats.org/drawingml/2006/picture">
                      <pic:pic>
                        <pic:nvPicPr>
                          <pic:cNvPr descr="cnart_files/figure-docx/fig-polar-output-1.png" id="42" name="Picture"/>
                          <pic:cNvPicPr>
                            <a:picLocks noChangeArrowheads="1" noChangeAspect="1"/>
                          </pic:cNvPicPr>
                        </pic:nvPicPr>
                        <pic:blipFill>
                          <a:blip r:embed="rId40"/>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3"/>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8"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5" w:name="tbl-light-on-1"/>
                <w:bookmarkStart w:id="44"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4"/>
                <w:p>
                  <w:pPr>
                    <w:jc w:val="center"/>
                  </w:pPr>
                  <w:pPr>
                    <w:jc w:val="start"/>
                    <w:spacing w:before="200"/>
                    <w:pStyle w:val="ImageCaption"/>
                  </w:pPr>
                  <w:r>
                    <w:t xml:space="preserve">(a) </w:t>
                  </w:r>
                  <w:r>
                    <w:rPr>
                      <w:rFonts w:hint="eastAsia"/>
                    </w:rPr>
                    <w:t xml:space="preserve">（粗）</w:t>
                  </w:r>
                </w:p>
                <w:bookmarkEnd w:id="45"/>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7" w:name="tbl-light-on-2"/>
                <w:bookmarkStart w:id="46"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6"/>
                <w:p>
                  <w:pPr>
                    <w:jc w:val="center"/>
                  </w:pPr>
                  <w:pPr>
                    <w:jc w:val="start"/>
                    <w:spacing w:before="200"/>
                    <w:pStyle w:val="ImageCaption"/>
                  </w:pPr>
                  <w:r>
                    <w:t xml:space="preserve">(b) </w:t>
                  </w:r>
                  <w:r>
                    <w:rPr>
                      <w:rFonts w:hint="eastAsia"/>
                    </w:rPr>
                    <w:t xml:space="preserve">（细）</w:t>
                  </w:r>
                </w:p>
                <w:bookmarkEnd w:id="47"/>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8"/>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7"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2" w:name="fig-light-on-1"/>
                <w:p>
                  <w:pPr>
                    <w:pStyle w:val="Compact"/>
                    <w:jc w:val="center"/>
                    <w:jc w:val="left"/>
                  </w:pPr>
                  <w:r>
                    <w:drawing>
                      <wp:inline>
                        <wp:extent cx="2971800" cy="2397702"/>
                        <wp:effectExtent b="0" l="0" r="0" t="0"/>
                        <wp:docPr descr="" title="" id="50" name="Picture"/>
                        <a:graphic>
                          <a:graphicData uri="http://schemas.openxmlformats.org/drawingml/2006/picture">
                            <pic:pic>
                              <pic:nvPicPr>
                                <pic:cNvPr descr="cnart_files/figure-docx/fig-light-on-output-1.png" id="51" name="Picture"/>
                                <pic:cNvPicPr>
                                  <a:picLocks noChangeArrowheads="1" noChangeAspect="1"/>
                                </pic:cNvPicPr>
                              </pic:nvPicPr>
                              <pic:blipFill>
                                <a:blip r:embed="rId49"/>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2"/>
              </w:tc>
            </w:tr>
          </w:tbl>
          <w:p/>
        </w:tc>
        <w:tc>
          <w:tcPr/>
          <w:tbl>
            <w:tblPr>
              <w:tblStyle w:val="Table"/>
              <w:tblW w:type="pct" w:w="4900"/>
              <w:tblLayout w:type="fixed"/>
              <w:tblLook w:firstRow="0" w:lastRow="0" w:firstColumn="0" w:lastColumn="0" w:noHBand="0" w:noVBand="0" w:val="0000"/>
            </w:tblPr>
            <w:tblGrid>
              <w:gridCol w:w="7761"/>
            </w:tblGrid>
            <w:tr>
              <w:tc>
                <w:tcPr/>
                <w:bookmarkStart w:id="56" w:name="fig-light-on-2"/>
                <w:p>
                  <w:pPr>
                    <w:pStyle w:val="Compact"/>
                    <w:jc w:val="center"/>
                    <w:jc w:val="left"/>
                  </w:pPr>
                  <w:r>
                    <w:drawing>
                      <wp:inline>
                        <wp:extent cx="2971800" cy="2328894"/>
                        <wp:effectExtent b="0" l="0" r="0" t="0"/>
                        <wp:docPr descr="" title="" id="54" name="Picture"/>
                        <a:graphic>
                          <a:graphicData uri="http://schemas.openxmlformats.org/drawingml/2006/picture">
                            <pic:pic>
                              <pic:nvPicPr>
                                <pic:cNvPr descr="cnart_files/figure-docx/fig-light-on-output-2.png" id="55" name="Picture"/>
                                <pic:cNvPicPr>
                                  <a:picLocks noChangeArrowheads="1" noChangeAspect="1"/>
                                </pic:cNvPicPr>
                              </pic:nvPicPr>
                              <pic:blipFill>
                                <a:blip r:embed="rId53"/>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6"/>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7"/>
    <w:bookmarkEnd w:id="58"/>
    <w:bookmarkStart w:id="62"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9"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60"/>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1"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1"/>
        </w:tc>
      </w:tr>
    </w:tbl>
    <w:bookmarkEnd w:id="62"/>
    <w:bookmarkStart w:id="64" w:name="layout"/>
    <w:p>
      <w:pPr>
        <w:pStyle w:val="2"/>
      </w:pPr>
      <w:r>
        <w:t xml:space="preserve">7 Layout</w:t>
      </w:r>
    </w:p>
    <w:p>
      <w:pPr>
        <w:pStyle w:val="FirstParagraph"/>
      </w:pPr>
      <w:r>
        <w:rPr>
          <w:rFonts w:hint="eastAsia"/>
        </w:rPr>
        <w:t xml:space="preserve">如</w:t>
      </w:r>
      <w:r>
        <w:t xml:space="preserve"> </w:t>
      </w:r>
      <w:hyperlink r:id="rId63">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sepChr m:val=""/>
                    <m:endChr m:val="}"/>
                    <m:grow/>
                  </m:dPr>
                  <m:e>
                    <m:f>
                      <m:fPr>
                        <m:type m:val="noBar"/>
                      </m:fPr>
                      <m:num>
                        <m:r>
                          <m:t>n</m:t>
                        </m:r>
                      </m:num>
                      <m:den>
                        <m:r>
                          <m:t>r</m:t>
                        </m:r>
                      </m:den>
                    </m:f>
                  </m:e>
                </m:d>
                <m:r>
                  <m:rPr>
                    <m:sty m:val="p"/>
                  </m:rPr>
                  <m:t>=</m:t>
                </m:r>
                <m:r>
                  <m:t>r</m:t>
                </m:r>
                <m:d>
                  <m:dPr>
                    <m:begChr m:val="{"/>
                    <m:sepChr m:val=""/>
                    <m:endChr m:val="}"/>
                    <m:grow/>
                  </m:dPr>
                  <m:e>
                    <m:f>
                      <m:fPr>
                        <m:type m:val="noBar"/>
                      </m:fPr>
                      <m:num>
                        <m:r>
                          <m:t>n</m:t>
                        </m:r>
                        <m:r>
                          <m:rPr>
                            <m:sty m:val="p"/>
                          </m:rPr>
                          <m:t>−</m:t>
                        </m:r>
                        <m:r>
                          <m:t>1</m:t>
                        </m:r>
                      </m:num>
                      <m:den>
                        <m:r>
                          <m:t>r</m:t>
                        </m:r>
                      </m:den>
                    </m:f>
                  </m:e>
                </m:d>
                <m:r>
                  <m:rPr>
                    <m:sty m:val="p"/>
                  </m:rPr>
                  <m:t>+</m:t>
                </m:r>
                <m:d>
                  <m:dPr>
                    <m:begChr m:val="{"/>
                    <m:sepChr m:val=""/>
                    <m:end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sepChr m:val=""/>
                    <m:endChr m:val=")"/>
                    <m:grow/>
                  </m:dPr>
                  <m:e>
                    <m:r>
                      <m:t>x</m:t>
                    </m:r>
                  </m:e>
                </m:d>
                <m:r>
                  <m:rPr>
                    <m:sty m:val="p"/>
                  </m:rPr>
                  <m:t>=</m:t>
                </m:r>
                <m:f>
                  <m:fPr>
                    <m:type m:val="bar"/>
                  </m:fPr>
                  <m:num>
                    <m:sSup>
                      <m:e>
                        <m:d>
                          <m:dPr>
                            <m:begChr m:val="("/>
                            <m:sepChr m:val=""/>
                            <m:end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4"/>
    <w:bookmarkStart w:id="65"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SourceCode"/>
      </w:pPr>
      <w:r>
        <w:rPr>
          <w:rStyle w:val="FunctionTok"/>
        </w:rPr>
        <w:t xml:space="preserve">\def\SunQuarTeX</w:t>
      </w:r>
      <w:r>
        <w:rPr>
          <w:rStyle w:val="NormalTok"/>
        </w:rPr>
        <w:t xml:space="preserve">{</w:t>
      </w:r>
      <w:r>
        <w:br/>
      </w:r>
      <w:r>
        <w:rPr>
          <w:rStyle w:val="FunctionTok"/>
        </w:rPr>
        <w:t xml:space="preserve">\kern</w:t>
      </w:r>
      <w:r>
        <w:rPr>
          <w:rStyle w:val="NormalTok"/>
        </w:rPr>
        <w:t xml:space="preserve">-.0em </w:t>
      </w:r>
      <w:r>
        <w:rPr>
          <w:rStyle w:val="FunctionTok"/>
        </w:rPr>
        <w:t xml:space="preserve">\mathbb</w:t>
      </w:r>
      <w:r>
        <w:rPr>
          <w:rStyle w:val="NormalTok"/>
        </w:rPr>
        <w:t xml:space="preserve">{S}</w:t>
      </w:r>
      <w:r>
        <w:br/>
      </w:r>
      <w:r>
        <w:rPr>
          <w:rStyle w:val="FunctionTok"/>
        </w:rPr>
        <w:t xml:space="preserve">\kern</w:t>
      </w:r>
      <w:r>
        <w:rPr>
          <w:rStyle w:val="NormalTok"/>
        </w:rPr>
        <w:t xml:space="preserve">-.0em</w:t>
      </w:r>
      <w:r>
        <w:rPr>
          <w:rStyle w:val="FunctionTok"/>
        </w:rPr>
        <w:t xml:space="preserve">\lower</w:t>
      </w:r>
      <w:r>
        <w:rPr>
          <w:rStyle w:val="NormalTok"/>
        </w:rPr>
        <w:t xml:space="preserve">.5ex {</w:t>
      </w:r>
      <w:r>
        <w:rPr>
          <w:rStyle w:val="FunctionTok"/>
        </w:rPr>
        <w:t xml:space="preserve">\small</w:t>
      </w:r>
      <w:r>
        <w:rPr>
          <w:rStyle w:val="NormalTok"/>
        </w:rPr>
        <w:t xml:space="preserve"> </w:t>
      </w:r>
      <w:r>
        <w:rPr>
          <w:rStyle w:val="FunctionTok"/>
        </w:rPr>
        <w:t xml:space="preserve">\mathbb</w:t>
      </w:r>
      <w:r>
        <w:rPr>
          <w:rStyle w:val="NormalTok"/>
        </w:rPr>
        <w:t xml:space="preserve"> U}</w:t>
      </w:r>
      <w:r>
        <w:br/>
      </w:r>
      <w:r>
        <w:rPr>
          <w:rStyle w:val="FunctionTok"/>
        </w:rPr>
        <w:t xml:space="preserve">\kern</w:t>
      </w:r>
      <w:r>
        <w:rPr>
          <w:rStyle w:val="NormalTok"/>
        </w:rPr>
        <w:t xml:space="preserve">-.05em {</w:t>
      </w:r>
      <w:r>
        <w:rPr>
          <w:rStyle w:val="FunctionTok"/>
        </w:rPr>
        <w:t xml:space="preserve">\small</w:t>
      </w:r>
      <w:r>
        <w:rPr>
          <w:rStyle w:val="NormalTok"/>
        </w:rPr>
        <w:t xml:space="preserve"> </w:t>
      </w:r>
      <w:r>
        <w:rPr>
          <w:rStyle w:val="FunctionTok"/>
        </w:rPr>
        <w:t xml:space="preserve">\mathbb</w:t>
      </w:r>
      <w:r>
        <w:rPr>
          <w:rStyle w:val="NormalTok"/>
        </w:rPr>
        <w:t xml:space="preserve"> N}</w:t>
      </w:r>
      <w:r>
        <w:br/>
      </w:r>
      <w:r>
        <w:rPr>
          <w:rStyle w:val="FunctionTok"/>
        </w:rPr>
        <w:t xml:space="preserve">\kern</w:t>
      </w:r>
      <w:r>
        <w:rPr>
          <w:rStyle w:val="NormalTok"/>
        </w:rPr>
        <w:t xml:space="preserve">-.0em </w:t>
      </w:r>
      <w:r>
        <w:rPr>
          <w:rStyle w:val="FunctionTok"/>
        </w:rPr>
        <w:t xml:space="preserve">\mathbb</w:t>
      </w:r>
      <w:r>
        <w:rPr>
          <w:rStyle w:val="NormalTok"/>
        </w:rPr>
        <w:t xml:space="preserve">{Q}</w:t>
      </w:r>
      <w:r>
        <w:br/>
      </w:r>
      <w:r>
        <w:rPr>
          <w:rStyle w:val="FunctionTok"/>
        </w:rPr>
        <w:t xml:space="preserve">\kern</w:t>
      </w:r>
      <w:r>
        <w:rPr>
          <w:rStyle w:val="NormalTok"/>
        </w:rPr>
        <w:t xml:space="preserve">-.02em</w:t>
      </w:r>
      <w:r>
        <w:rPr>
          <w:rStyle w:val="FunctionTok"/>
        </w:rPr>
        <w:t xml:space="preserve">\raise</w:t>
      </w:r>
      <w:r>
        <w:rPr>
          <w:rStyle w:val="NormalTok"/>
        </w:rPr>
        <w:t xml:space="preserve">.0ex {</w:t>
      </w:r>
      <w:r>
        <w:rPr>
          <w:rStyle w:val="FunctionTok"/>
        </w:rPr>
        <w:t xml:space="preserve">\small</w:t>
      </w:r>
      <w:r>
        <w:rPr>
          <w:rStyle w:val="NormalTok"/>
        </w:rPr>
        <w:t xml:space="preserve"> </w:t>
      </w:r>
      <w:r>
        <w:rPr>
          <w:rStyle w:val="FunctionTok"/>
        </w:rPr>
        <w:t xml:space="preserve">\mathbb</w:t>
      </w:r>
      <w:r>
        <w:rPr>
          <w:rStyle w:val="NormalTok"/>
        </w:rPr>
        <w:t xml:space="preserve">{U}}</w:t>
      </w:r>
      <w:r>
        <w:br/>
      </w:r>
      <w:r>
        <w:rPr>
          <w:rStyle w:val="FunctionTok"/>
        </w:rPr>
        <w:t xml:space="preserve">\kern</w:t>
      </w:r>
      <w:r>
        <w:rPr>
          <w:rStyle w:val="NormalTok"/>
        </w:rPr>
        <w:t xml:space="preserve">-.1em </w:t>
      </w:r>
      <w:r>
        <w:rPr>
          <w:rStyle w:val="FunctionTok"/>
        </w:rPr>
        <w:t xml:space="preserve">\lower</w:t>
      </w:r>
      <w:r>
        <w:rPr>
          <w:rStyle w:val="NormalTok"/>
        </w:rPr>
        <w:t xml:space="preserve">.3ex {</w:t>
      </w:r>
      <w:r>
        <w:rPr>
          <w:rStyle w:val="FunctionTok"/>
        </w:rPr>
        <w:t xml:space="preserve">\small</w:t>
      </w:r>
      <w:r>
        <w:rPr>
          <w:rStyle w:val="NormalTok"/>
        </w:rPr>
        <w:t xml:space="preserve"> </w:t>
      </w:r>
      <w:r>
        <w:rPr>
          <w:rStyle w:val="FunctionTok"/>
        </w:rPr>
        <w:t xml:space="preserve">\mathbb</w:t>
      </w:r>
      <w:r>
        <w:rPr>
          <w:rStyle w:val="NormalTok"/>
        </w:rPr>
        <w:t xml:space="preserve">{A}}</w:t>
      </w:r>
      <w:r>
        <w:br/>
      </w:r>
      <w:r>
        <w:rPr>
          <w:rStyle w:val="FunctionTok"/>
        </w:rPr>
        <w:t xml:space="preserve">\kern</w:t>
      </w:r>
      <w:r>
        <w:rPr>
          <w:rStyle w:val="NormalTok"/>
        </w:rPr>
        <w:t xml:space="preserve">-.08em</w:t>
      </w:r>
      <w:r>
        <w:rPr>
          <w:rStyle w:val="FunctionTok"/>
        </w:rPr>
        <w:t xml:space="preserve">\lower</w:t>
      </w:r>
      <w:r>
        <w:rPr>
          <w:rStyle w:val="NormalTok"/>
        </w:rPr>
        <w:t xml:space="preserve">.1ex </w:t>
      </w:r>
      <w:r>
        <w:rPr>
          <w:rStyle w:val="FunctionTok"/>
        </w:rPr>
        <w:t xml:space="preserve">\mathbb</w:t>
      </w:r>
      <w:r>
        <w:rPr>
          <w:rStyle w:val="NormalTok"/>
        </w:rPr>
        <w:t xml:space="preserve">{R}</w:t>
      </w:r>
      <w:r>
        <w:br/>
      </w:r>
      <w:r>
        <w:rPr>
          <w:rStyle w:val="FunctionTok"/>
        </w:rPr>
        <w:t xml:space="preserve">\TeX</w:t>
      </w:r>
      <w:r>
        <w:br/>
      </w:r>
      <w:r>
        <w:rPr>
          <w:rStyle w:val="NormalTok"/>
        </w:rPr>
        <w:t xml:space="preserve">}</w:t>
      </w:r>
      <w:r>
        <w:br/>
      </w:r>
      <w:r>
        <w:rPr>
          <w:rStyle w:val="FunctionTok"/>
        </w:rPr>
        <w:t xml:space="preserve">\SunQuarTeX</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5"/>
    <w:bookmarkStart w:id="84"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3"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opt/quarto/share/formats/docx/note.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opt/quarto/share/formats/docx/warning.png" id="71" name="Picture"/>
                          <pic:cNvPicPr>
                            <a:picLocks noChangeArrowheads="1" noChangeAspect="1"/>
                          </pic:cNvPicPr>
                        </pic:nvPicPr>
                        <pic:blipFill>
                          <a:blip r:embed="rId6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opt/quarto/share/formats/docx/important.png" id="74" name="Picture"/>
                          <pic:cNvPicPr>
                            <a:picLocks noChangeArrowheads="1" noChangeAspect="1"/>
                          </pic:cNvPicPr>
                        </pic:nvPicPr>
                        <pic:blipFill>
                          <a:blip r:embed="rId7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opt/quarto/share/formats/docx/tip.png" id="77"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opt/quarto/share/formats/docx/caution.png" id="80"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1" name="Picture"/>
                  <a:graphic>
                    <a:graphicData uri="http://schemas.openxmlformats.org/drawingml/2006/picture">
                      <pic:pic>
                        <pic:nvPicPr>
                          <pic:cNvPr descr="/opt/quarto/share/formats/docx/caution.png" id="82"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3"/>
    <w:bookmarkEnd w:id="84"/>
    <w:bookmarkStart w:id="97"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5"/>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 p. 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6" w:name="refs"/>
    <w:bookmarkStart w:id="88"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7">
        <w:r>
          <w:rPr>
            <w:rStyle w:val="ae"/>
          </w:rPr>
          <w:t xml:space="preserve">https://std.samr.gov.cn/gb/search/gbDetailed?id=A47A713B767814ABE05397BE0A0ABB25</w:t>
        </w:r>
      </w:hyperlink>
      <w:r>
        <w:t xml:space="preserve">, </w:t>
      </w:r>
      <w:r>
        <w:rPr>
          <w:rFonts w:hint="eastAsia"/>
        </w:rPr>
        <w:t xml:space="preserve">2020年.</w:t>
      </w:r>
    </w:p>
    <w:bookmarkEnd w:id="88"/>
    <w:bookmarkStart w:id="89"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9"/>
    <w:bookmarkStart w:id="90"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90"/>
    <w:bookmarkStart w:id="91"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1"/>
    <w:bookmarkStart w:id="92"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2"/>
    <w:bookmarkStart w:id="93"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3"/>
    <w:bookmarkStart w:id="94"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4"/>
    <w:bookmarkStart w:id="95"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5"/>
    <w:bookmarkEnd w:id="96"/>
    <w:bookmarkEnd w:id="97"/>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5">
    <w:p>
      <w:pPr>
        <w:pStyle w:val="aa"/>
      </w:pPr>
      <w:r>
        <w:rPr>
          <w:rStyle w:val="ad"/>
        </w:rPr>
        <w:footnoteRef/>
      </w:r>
      <w:r>
        <w:t xml:space="preserve"> </w:t>
      </w:r>
      <w:r>
        <w:rPr>
          <w:rFonts w:hint="eastAsia"/>
        </w:rPr>
        <w:t xml:space="preserve">参见</w:t>
      </w:r>
      <w:r>
        <w:t xml:space="preserve"> </w:t>
      </w:r>
      <w:hyperlink r:id="rId86">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image" Id="rId75" Target="media/rId75.png" /><Relationship Type="http://schemas.openxmlformats.org/officeDocument/2006/relationships/image" Id="rId69" Target="media/rId69.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40" Target="media/rId40.png" /><Relationship Type="http://schemas.openxmlformats.org/officeDocument/2006/relationships/image" Id="rId27" Target="media/rId27.png" /><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2025-08-10T10:36:22Z</dcterms:created>
  <dcterms:modified xsi:type="dcterms:W3CDTF">2025-08-10T10:36:22Z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bibliography.bib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2022-12-07</vt:lpwstr>
  </property>
  <property fmtid="{D5CDD505-2E9C-101B-9397-08002B2CF9AE}" pid="11" name="date-modified">
    <vt:lpwstr>2024-08-23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3</vt:lpwstr>
  </property>
  <property fmtid="{D5CDD505-2E9C-101B-9397-08002B2CF9AE}" pid="18" name="subtitle">
    <vt:lpwstr>这是副标题</vt:lpwstr>
  </property>
  <property fmtid="{D5CDD505-2E9C-101B-9397-08002B2CF9AE}" pid="19" name="toc-title">
    <vt:lpwstr>Table of contents</vt:lpwstr>
  </property>
</Properties>
</file>