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Lean Include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file demonstrates the</w:t>
      </w:r>
      <w:r>
        <w:t xml:space="preserve"> </w:t>
      </w:r>
      <w:r>
        <w:rPr>
          <w:rStyle w:val="VerbatimChar"/>
        </w:rPr>
        <w:t xml:space="preserve">lean-include</w:t>
      </w:r>
      <w:r>
        <w:t xml:space="preserve"> </w:t>
      </w:r>
      <w:r>
        <w:t xml:space="preserve">feature.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Mathlib</w:t>
      </w:r>
    </w:p>
    <w:bookmarkStart w:id="25" w:name="logic-part-ii"/>
    <w:p>
      <w:pPr>
        <w:pStyle w:val="1"/>
      </w:pPr>
      <w:r>
        <w:t xml:space="preserve">. Logic (Part II)</w:t>
      </w:r>
    </w:p>
    <w:bookmarkStart w:id="20" w:name="and-and-or"/>
    <w:p>
      <w:pPr>
        <w:pStyle w:val="2"/>
      </w:pPr>
      <w:r>
        <w:t xml:space="preserve">1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In Lean’s dependent type theory,</w:t>
      </w:r>
      <w:r>
        <w:t xml:space="preserve"> </w:t>
      </w:r>
      <w:r>
        <w:rPr>
          <w:rStyle w:val="VerbatimChar"/>
        </w:rPr>
        <w:t xml:space="preserve">∧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∨</w:t>
      </w:r>
      <w:r>
        <w:t xml:space="preserve"> </w:t>
      </w:r>
      <w:r>
        <w:t xml:space="preserve">serve as</w:t>
      </w:r>
      <w:r>
        <w:t xml:space="preserve"> </w:t>
      </w:r>
      <w:r>
        <w:t xml:space="preserve">the</w:t>
      </w:r>
      <w:r>
        <w:t xml:space="preserve"> </w:t>
      </w:r>
      <w:r>
        <w:rPr>
          <w:i/>
          <w:iCs/>
        </w:rPr>
        <w:t xml:space="preserve">direct product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  <w:iCs/>
        </w:rPr>
        <w:t xml:space="preserve">direct sum</w:t>
      </w:r>
      <w:r>
        <w:t xml:space="preserve"> </w:t>
      </w:r>
      <w:r>
        <w:t xml:space="preserve">in the universe of</w:t>
      </w:r>
      <w:r>
        <w:t xml:space="preserve"> </w:t>
      </w:r>
      <w:r>
        <w:rPr>
          <w:rStyle w:val="VerbatimChar"/>
        </w:rPr>
        <w:t xml:space="preserve">Prop</w:t>
      </w:r>
      <w:r>
        <w:t xml:space="preserve">.</w:t>
      </w:r>
    </w:p>
    <w:p>
      <w:pPr>
        <w:pStyle w:val="a0"/>
      </w:pPr>
      <w:r>
        <w:t xml:space="preserve">Eagle-eyed readers may notice that</w:t>
      </w:r>
      <w:r>
        <w:t xml:space="preserve"> </w:t>
      </w:r>
      <w:r>
        <w:rPr>
          <w:rStyle w:val="VerbatimChar"/>
        </w:rPr>
        <w:t xml:space="preserve">∧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∨</w:t>
      </w:r>
      <w:r>
        <w:t xml:space="preserve"> </w:t>
      </w:r>
      <w:r>
        <w:t xml:space="preserve">act similarly to</w:t>
      </w:r>
      <w:r>
        <w:t xml:space="preserve"> </w:t>
      </w:r>
      <w:r>
        <w:t xml:space="preserve">Cartesian product and disjoint union in set theory.</w:t>
      </w:r>
    </w:p>
    <w:p>
      <w:pPr>
        <w:pStyle w:val="a0"/>
      </w:pPr>
      <w:r>
        <w:t xml:space="preserve">They are also constructed as inductive types.</w:t>
      </w:r>
    </w:p>
    <w:p>
      <w:pPr>
        <w:pStyle w:val="SourceCode"/>
      </w:pPr>
      <w:r>
        <w:rPr>
          <w:rStyle w:val="PreprocessorTok"/>
        </w:rPr>
        <w:t xml:space="preserve">section</w:t>
      </w:r>
      <w:r>
        <w:br/>
      </w:r>
      <w:r>
        <w:br/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(p q r :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</w:t>
      </w:r>
    </w:p>
    <w:bookmarkEnd w:id="20"/>
    <w:bookmarkStart w:id="24" w:name="and"/>
    <w:p>
      <w:pPr>
        <w:pStyle w:val="2"/>
      </w:pPr>
      <w:r>
        <w:t xml:space="preserve">2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(</w:t>
      </w:r>
      <w:r>
        <w:rPr>
          <w:rStyle w:val="VerbatimChar"/>
        </w:rPr>
        <w:t xml:space="preserve">∧</w:t>
      </w:r>
      <w:r>
        <w:t xml:space="preserve">)</w:t>
      </w:r>
    </w:p>
    <w:p>
      <w:pPr>
        <w:pStyle w:val="FirstParagraph"/>
      </w:pPr>
      <w:r>
        <w:t xml:space="preserve">The only constructor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And.intro</w:t>
      </w:r>
      <w:r>
        <w:t xml:space="preserve">, which takes a proof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 a proof of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to produce a proof of</w:t>
      </w:r>
      <w:r>
        <w:t xml:space="preserve"> </w:t>
      </w:r>
      <w:r>
        <w:rPr>
          <w:rStyle w:val="VerbatimChar"/>
        </w:rPr>
        <w:t xml:space="preserve">p ∧ q</w:t>
      </w:r>
      <w:r>
        <w:t xml:space="preserve">.</w:t>
      </w:r>
    </w:p>
    <w:p>
      <w:pPr>
        <w:pStyle w:val="a0"/>
      </w:pPr>
      <w:r>
        <w:t xml:space="preserve">Regard this as the</w:t>
      </w:r>
      <w:r>
        <w:t xml:space="preserve"> </w:t>
      </w:r>
      <w:r>
        <w:rPr>
          <w:i/>
          <w:iCs/>
        </w:rPr>
        <w:t xml:space="preserve">universal property of the direct product</w:t>
      </w:r>
      <w:r>
        <w:t xml:space="preserve"> </w:t>
      </w:r>
      <w:r>
        <w:t xml:space="preserve">if you like.</w:t>
      </w:r>
    </w:p>
    <w:p>
      <w:pPr>
        <w:pStyle w:val="a0"/>
      </w:pPr>
      <w:r>
        <w:rPr>
          <w:rStyle w:val="VerbatimChar"/>
        </w:rPr>
        <w:t xml:space="preserve">And.intro hp hq</w:t>
      </w:r>
      <w:r>
        <w:t xml:space="preserve"> </w:t>
      </w:r>
      <w:r>
        <w:t xml:space="preserve">can be abbreviated as</w:t>
      </w:r>
      <w:r>
        <w:t xml:space="preserve"> </w:t>
      </w:r>
      <w:r>
        <w:rPr>
          <w:rStyle w:val="VerbatimChar"/>
        </w:rPr>
        <w:t xml:space="preserve">⟨hp, hq⟩</w:t>
      </w:r>
      <w:r>
        <w:t xml:space="preserve">, called the</w:t>
      </w:r>
      <w:r>
        <w:t xml:space="preserve"> </w:t>
      </w:r>
      <w:r>
        <w:rPr>
          <w:i/>
          <w:iCs/>
        </w:rPr>
        <w:t xml:space="preserve">anonymous constructor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constructor</w:t>
      </w:r>
      <w:r>
        <w:t xml:space="preserve"> </w:t>
      </w:r>
      <w:r>
        <w:t xml:space="preserve">tactic applies</w:t>
      </w:r>
      <w:r>
        <w:t xml:space="preserve"> </w:t>
      </w:r>
      <w:r>
        <w:rPr>
          <w:rStyle w:val="VerbatimChar"/>
        </w:rPr>
        <w:t xml:space="preserve">And.intro</w:t>
      </w:r>
      <w:r>
        <w:t xml:space="preserve"> </w:t>
      </w:r>
      <w:r>
        <w:t xml:space="preserve">to split the goal</w:t>
      </w:r>
      <w:r>
        <w:t xml:space="preserve"> </w:t>
      </w:r>
      <w:r>
        <w:rPr>
          <w:rStyle w:val="VerbatimChar"/>
        </w:rPr>
        <w:t xml:space="preserve">p ∧ q</w:t>
      </w:r>
      <w:r>
        <w:t xml:space="preserve"> </w:t>
      </w:r>
      <w:r>
        <w:t xml:space="preserve">into subgoals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  <w:r>
        <w:t xml:space="preserve"> </w:t>
      </w:r>
      <w:r>
        <w:t xml:space="preserve">You may also use the anonymous constructor notation</w:t>
      </w:r>
      <w:r>
        <w:t xml:space="preserve"> </w:t>
      </w:r>
      <w:r>
        <w:rPr>
          <w:rStyle w:val="VerbatimChar"/>
        </w:rPr>
        <w:t xml:space="preserve">⟨hp, hq⟩</w:t>
      </w:r>
      <w:r>
        <w:t xml:space="preserve"> </w:t>
      </w:r>
      <w:r>
        <w:t xml:space="preserve">to mean</w:t>
      </w:r>
      <w:r>
        <w:t xml:space="preserve"> </w:t>
      </w:r>
      <w:r>
        <w:rPr>
          <w:rStyle w:val="VerbatimChar"/>
        </w:rPr>
        <w:t xml:space="preserve">And.intro hp hq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split_ands</w:t>
      </w:r>
      <w:r>
        <w:t xml:space="preserve"> </w:t>
      </w:r>
      <w:r>
        <w:t xml:space="preserve">tactic is like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but works for nested</w:t>
      </w:r>
      <w:r>
        <w:t xml:space="preserve"> </w:t>
      </w:r>
      <w:r>
        <w:rPr>
          <w:rStyle w:val="VerbatimChar"/>
        </w:rPr>
        <w:t xml:space="preserve">And</w:t>
      </w:r>
      <w:r>
        <w:t xml:space="preserve">s.</w:t>
      </w:r>
    </w:p>
    <w:p>
      <w:pPr>
        <w:pStyle w:val="SourceCode"/>
      </w:pPr>
      <w:r>
        <w:rPr>
          <w:rStyle w:val="AttributeTok"/>
        </w:rPr>
        <w:t xml:space="preserve">#print</w:t>
      </w:r>
      <w:r>
        <w:rPr>
          <w:rStyle w:val="NormalTok"/>
        </w:rPr>
        <w:t xml:space="preserve"> And</w:t>
      </w:r>
    </w:p>
    <w:p>
      <w:pPr>
        <w:pStyle w:val="FirstParagraph"/>
      </w:pPr>
      <w:r>
        <w:t xml:space="preserve">introducing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intro</w:t>
      </w:r>
    </w:p>
    <w:p>
      <w:pPr>
        <w:pStyle w:val="FirstParagraph"/>
      </w:pPr>
      <w:r>
        <w:t xml:space="preserve">These examples, as introduction rules, are self-evidently true.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: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: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⟨hp, hq⟩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: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→</w:t>
      </w:r>
      <w:r>
        <w:t xml:space="preserve">–</w:t>
      </w:r>
      <w:r>
        <w:rPr>
          <w:rStyle w:val="VerbatimChar"/>
        </w:rPr>
        <w:t xml:space="preserve">∨</w:t>
      </w:r>
      <w:r>
        <w:t xml:space="preserve"> </w:t>
      </w:r>
      <w:r>
        <w:t xml:space="preserve">distribution. Universal property of the direct product.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(hrp : r → p) (hrq : r → q) : r → p ∧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⟨hrp hr, hrq hr⟩</w:t>
      </w:r>
    </w:p>
    <w:p>
      <w:pPr>
        <w:pStyle w:val="FirstParagraph"/>
      </w:pPr>
      <w:r>
        <w:rPr>
          <w:rStyle w:val="VerbatimChar"/>
        </w:rPr>
        <w:t xml:space="preserve">And.left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And.right</w:t>
      </w:r>
      <w:r>
        <w:t xml:space="preserve"> </w:t>
      </w:r>
      <w:r>
        <w:t xml:space="preserve">are among the elimination rules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t xml:space="preserve">which extract the proofs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rcases hpq with ⟨hp, hq⟩</w:t>
      </w:r>
      <w:r>
        <w:t xml:space="preserve"> </w:t>
      </w:r>
      <w:r>
        <w:t xml:space="preserve">is a tactic that breaks down the hypothesis</w:t>
      </w:r>
      <w:r>
        <w:t xml:space="preserve"> </w:t>
      </w:r>
      <w:r>
        <w:rPr>
          <w:rStyle w:val="VerbatimChar"/>
        </w:rPr>
        <w:t xml:space="preserve">hpq : p ∧ q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hp : 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hq : q</w:t>
      </w:r>
      <w:r>
        <w:t xml:space="preserve">.</w:t>
      </w:r>
      <w:r>
        <w:t xml:space="preserve"> </w:t>
      </w:r>
      <w:r>
        <w:t xml:space="preserve">Equivalently you can use</w:t>
      </w:r>
      <w:r>
        <w:t xml:space="preserve"> </w:t>
      </w:r>
      <w:r>
        <w:rPr>
          <w:rStyle w:val="VerbatimChar"/>
        </w:rPr>
        <w:t xml:space="preserve">let ⟨hp, hq⟩ := hpq</w:t>
      </w:r>
      <w:r>
        <w:t xml:space="preserve">.</w:t>
      </w:r>
    </w:p>
    <w:p>
      <w:pPr>
        <w:pStyle w:val="a0"/>
      </w:pPr>
      <w:r>
        <w:t xml:space="preserve">eliminating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left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And.</w:t>
      </w:r>
      <w:r>
        <w:rPr>
          <w:rStyle w:val="FunctionTok"/>
        </w:rPr>
        <w:t xml:space="preserve">right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(hpq : p ∧ q) :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hpq.</w:t>
      </w:r>
      <w:r>
        <w:rPr>
          <w:rStyle w:val="FunctionTok"/>
        </w:rPr>
        <w:t xml:space="preserve">left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(hpq : p ∧ q) :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⟨hp, _⟩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p ∧ q →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⟨hp, _⟩ </w:t>
      </w:r>
      <w:r>
        <w:rPr>
          <w:rStyle w:val="CommentTok"/>
        </w:rPr>
        <w:t xml:space="preserve">-- implicit break-down in `intro`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is symmetric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p ∧ q → q ∧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hpq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⟨hpq.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, hpq.left⟩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And.comm </w:t>
      </w:r>
      <w:r>
        <w:rPr>
          <w:rStyle w:val="CommentTok"/>
        </w:rPr>
        <w:t xml:space="preserve">-- above has a name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→</w:t>
      </w:r>
      <w:r>
        <w:t xml:space="preserve">–</w:t>
      </w:r>
      <w:r>
        <w:rPr>
          <w:rStyle w:val="VerbatimChar"/>
        </w:rPr>
        <w:t xml:space="preserve">∨</w:t>
      </w:r>
      <w:r>
        <w:t xml:space="preserve"> </w:t>
      </w:r>
      <w:r>
        <w:t xml:space="preserve">distribution, in another direction.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(hrpq : r → p ∧ q) : (r → p) ∧ (r → q)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(hrpq hr).</w:t>
      </w:r>
      <w:r>
        <w:rPr>
          <w:rStyle w:val="FunctionTok"/>
        </w:rPr>
        <w:t xml:space="preserve">left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(hrpq hr).</w:t>
      </w:r>
      <w:r>
        <w:rPr>
          <w:rStyle w:val="FunctionTok"/>
        </w:rPr>
        <w:t xml:space="preserve">right</w:t>
      </w:r>
    </w:p>
    <w:p>
      <w:pPr>
        <w:pStyle w:val="FirstParagraph"/>
      </w:pPr>
      <w:r>
        <w:t xml:space="preserve">nested and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(hpqr : p ∧ q ∧ r)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hpqr.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right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(hpqr : p ∧ q ∧ r)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hpqr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⟨_, ⟨_, hr⟩⟩ </w:t>
      </w:r>
      <w:r>
        <w:rPr>
          <w:rStyle w:val="CommentTok"/>
        </w:rPr>
        <w:t xml:space="preserve">-- anonymous constructor can be nested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hr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(hr : r) : p ∧ q ∧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⟨hp, ⟨hq, hr⟩⟩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 : p) (hq : q) (hr : r) : p ∧ q ∧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split_ands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hr</w:t>
      </w:r>
    </w:p>
    <w:p>
      <w:pPr>
        <w:pStyle w:val="FirstParagraph"/>
      </w:pPr>
      <w:r>
        <w:t xml:space="preserve">The actual universal elimination rule of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is the so-called</w:t>
      </w:r>
      <w:r>
        <w:t xml:space="preserve"> </w:t>
      </w:r>
      <w:r>
        <w:rPr>
          <w:i/>
          <w:iCs/>
        </w:rPr>
        <w:t xml:space="preserve">decurrification</w:t>
      </w:r>
      <w:r>
        <w:t xml:space="preserve">: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(p → q → r)</w:t>
      </w:r>
      <w:r>
        <w:t xml:space="preserve"> </w:t>
      </w:r>
      <w:r>
        <w:t xml:space="preserve">we may deduce</w:t>
      </w:r>
      <w:r>
        <w:t xml:space="preserve"> </w:t>
      </w:r>
      <w:r>
        <w:rPr>
          <w:rStyle w:val="VerbatimChar"/>
        </w:rPr>
        <w:t xml:space="preserve">(p ∧ q → r)</w:t>
      </w:r>
      <w:r>
        <w:t xml:space="preserve">. This is actually a logical equivalence.</w:t>
      </w:r>
    </w:p>
    <w:p>
      <w:pPr>
        <w:pStyle w:val="a0"/>
      </w:pPr>
      <w:r>
        <w:t xml:space="preserve">Intuitively, requiring both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to deduce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nothing but</w:t>
      </w:r>
      <w:r>
        <w:t xml:space="preserve"> </w:t>
      </w:r>
      <w:r>
        <w:t xml:space="preserve">requiring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to deduce that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is sufficient to deduce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a0"/>
      </w:pPr>
      <w:r>
        <w:t xml:space="preserve">[IGNORE] Decurrification is also self-evidently true in Lean’s dependent type theory.</w:t>
      </w:r>
    </w:p>
    <w:p>
      <w:pPr>
        <w:pStyle w:val="a0"/>
      </w:pPr>
      <w:r>
        <w:t xml:space="preserve">Currification is heavily used in functional programming for its convenience, Lean is no exception.</w:t>
      </w:r>
    </w:p>
    <w:p>
      <w:pPr>
        <w:pStyle w:val="a0"/>
      </w:pPr>
      <w:r>
        <w:t xml:space="preserve">You are no stranger to decurrification even if you are not a functional programmer:</w:t>
      </w:r>
      <w:r>
        <w:t xml:space="preserve"> </w:t>
      </w:r>
      <w:r>
        <w:t xml:space="preserve">The</w:t>
      </w:r>
      <w:r>
        <w:t xml:space="preserve"> </w:t>
      </w:r>
      <w:r>
        <w:rPr>
          <w:i/>
          <w:iCs/>
        </w:rPr>
        <w:t xml:space="preserve">universal property of the tensor product of modules</w:t>
      </w:r>
      <w:r>
        <w:t xml:space="preserve"> </w:t>
      </w:r>
      <w:r>
        <w:t xml:space="preserve">says exactly the same: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Hom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⊗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P</m:t>
              </m:r>
            </m:e>
          </m:d>
          <m:r>
            <m:rPr>
              <m:sty m:val="p"/>
            </m:rPr>
            <m:t>≅</m:t>
          </m:r>
          <m:r>
            <m:rPr>
              <m:sty m:val="p"/>
            </m:rPr>
            <m:t>Hom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Hom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[EXR] currification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 : p ∧ q → r) : (p →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 hq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⟨hp, hq⟩</w:t>
      </w:r>
    </w:p>
    <w:p>
      <w:pPr>
        <w:pStyle w:val="FirstParagraph"/>
      </w:pPr>
      <w:r>
        <w:t xml:space="preserve">[EXR] decurrification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hpq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hpq.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hpq.</w:t>
      </w:r>
      <w:r>
        <w:rPr>
          <w:rStyle w:val="FunctionTok"/>
        </w:rPr>
        <w:t xml:space="preserve">right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⟨hp, hq⟩ </w:t>
      </w:r>
      <w:r>
        <w:rPr>
          <w:rStyle w:val="CommentTok"/>
        </w:rPr>
        <w:t xml:space="preserve">-- `intro` is smart enough to destructure `And`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hp hq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⟨hp, hq⟩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h </w:t>
      </w:r>
      <w:r>
        <w:rPr>
          <w:rStyle w:val="CommentTok"/>
        </w:rPr>
        <w:t xml:space="preserve">-- `apply` is smart enough to auto-decurrify and generate two subgoals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</w:p>
    <w:p>
      <w:pPr>
        <w:pStyle w:val="FirstParagraph"/>
      </w:pPr>
      <w:r>
        <w:t xml:space="preserve">[IGNORE] decurrification actually originates from</w:t>
      </w:r>
      <w:r>
        <w:t xml:space="preserve"> </w:t>
      </w:r>
      <w:r>
        <w:rPr>
          <w:rStyle w:val="VerbatimChar"/>
        </w:rPr>
        <w:t xml:space="preserve">And.rec</w:t>
      </w:r>
      <w:r>
        <w:t xml:space="preserve">, which is self-evident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And.rec</w:t>
      </w:r>
      <w:r>
        <w:br/>
      </w:r>
      <w:r>
        <w:rPr>
          <w:rStyle w:val="KeywordTok"/>
        </w:rPr>
        <w:t xml:space="preserve">theorem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ecurrify (h : p → q → r) : (p ∧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And.rec h</w:t>
      </w:r>
    </w:p>
    <w:p>
      <w:pPr>
        <w:pStyle w:val="FirstParagraph"/>
      </w:pPr>
      <w:r>
        <w:t xml:space="preserve">[EXR]</w:t>
      </w:r>
      <w:r>
        <w:t xml:space="preserve"> </w:t>
      </w:r>
      <w:r>
        <w:rPr>
          <w:rStyle w:val="VerbatimChar"/>
        </w:rPr>
        <w:t xml:space="preserve">And.left</w:t>
      </w:r>
      <w:r>
        <w:t xml:space="preserve"> </w:t>
      </w:r>
      <w:r>
        <w:t xml:space="preserve">is actually a consequence of decurrification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p ∧ q → p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decurrify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hp _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</w:t>
      </w:r>
    </w:p>
    <w:bookmarkStart w:id="21" w:name="iff-first-visit"/>
    <w:p>
      <w:pPr>
        <w:pStyle w:val="3"/>
      </w:pPr>
      <w:r>
        <w:t xml:space="preserve">2.1</w:t>
      </w:r>
      <w:r>
        <w:t xml:space="preserve"> </w:t>
      </w:r>
      <w:r>
        <w:rPr>
          <w:rStyle w:val="VerbatimChar"/>
        </w:rPr>
        <w:t xml:space="preserve">Iff</w:t>
      </w:r>
      <w:r>
        <w:t xml:space="preserve"> </w:t>
      </w:r>
      <w:r>
        <w:t xml:space="preserve">(</w:t>
      </w:r>
      <w:r>
        <w:rPr>
          <w:rStyle w:val="VerbatimChar"/>
        </w:rPr>
        <w:t xml:space="preserve">↔</w:t>
      </w:r>
      <w:r>
        <w:t xml:space="preserve">), first visit</w:t>
      </w:r>
    </w:p>
    <w:p>
      <w:pPr>
        <w:pStyle w:val="FirstParagraph"/>
      </w:pPr>
      <w:r>
        <w:t xml:space="preserve">It’s high time to introduce</w:t>
      </w:r>
      <w:r>
        <w:t xml:space="preserve"> </w:t>
      </w:r>
      <w:r>
        <w:rPr>
          <w:rStyle w:val="VerbatimChar"/>
        </w:rPr>
        <w:t xml:space="preserve">Iff</w:t>
      </w:r>
      <w:r>
        <w:t xml:space="preserve"> </w:t>
      </w:r>
      <w:r>
        <w:t xml:space="preserve">here for the first time.</w:t>
      </w:r>
    </w:p>
    <w:p>
      <w:pPr>
        <w:pStyle w:val="a0"/>
      </w:pPr>
      <w:r>
        <w:rPr>
          <w:rStyle w:val="VerbatimChar"/>
        </w:rPr>
        <w:t xml:space="preserve">Iff</w:t>
      </w:r>
      <w:r>
        <w:t xml:space="preserve"> </w:t>
      </w:r>
      <w:r>
        <w:t xml:space="preserve">(</w:t>
      </w:r>
      <w:r>
        <w:rPr>
          <w:rStyle w:val="VerbatimChar"/>
        </w:rPr>
        <w:t xml:space="preserve">↔</w:t>
      </w:r>
      <w:r>
        <w:t xml:space="preserve">) contains two side of implications:</w:t>
      </w:r>
      <w:r>
        <w:t xml:space="preserve"> </w:t>
      </w:r>
      <w:r>
        <w:rPr>
          <w:rStyle w:val="VerbatimChar"/>
        </w:rPr>
        <w:t xml:space="preserve">Iff.mp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Iff.mpr</w:t>
      </w:r>
      <w:r>
        <w:t xml:space="preserve">.</w:t>
      </w:r>
    </w:p>
    <w:p>
      <w:pPr>
        <w:pStyle w:val="a0"/>
      </w:pPr>
      <w:r>
        <w:t xml:space="preserve">Though it is defined as a distinct inductive type,</w:t>
      </w:r>
      <w:r>
        <w:t xml:space="preserve"> </w:t>
      </w:r>
      <w:r>
        <w:rPr>
          <w:rStyle w:val="VerbatimChar"/>
        </w:rPr>
        <w:t xml:space="preserve">Iff</w:t>
      </w:r>
      <w:r>
        <w:t xml:space="preserve"> </w:t>
      </w:r>
      <w:r>
        <w:t xml:space="preserve">is very similar to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in that you may, somehow, even use it like a</w:t>
      </w:r>
      <w:r>
        <w:t xml:space="preserve"> </w:t>
      </w:r>
      <w:r>
        <w:rPr>
          <w:rStyle w:val="VerbatimChar"/>
        </w:rPr>
        <w:t xml:space="preserve">(p → q) ∧ (q → p)</w:t>
      </w:r>
      <w:r>
        <w:t xml:space="preserve">.</w:t>
      </w:r>
      <w:r>
        <w:t xml:space="preserve"> </w:t>
      </w:r>
      <w:r>
        <w:t xml:space="preserve">The only major difference is the name of the two components.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Iff.</w:t>
      </w:r>
      <w:r>
        <w:rPr>
          <w:rStyle w:val="FunctionTok"/>
        </w:rPr>
        <w:t xml:space="preserve">intro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Iff.mp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Iff.mpr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(p ↔ q) ↔ (p → q) ∧ (q → p)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⟨h.mp, h.mpr⟩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⟨hpq, hqp⟩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⟨hpq, hqp⟩</w:t>
      </w:r>
    </w:p>
    <w:bookmarkEnd w:id="21"/>
    <w:bookmarkStart w:id="22" w:name="or"/>
    <w:p>
      <w:pPr>
        <w:pStyle w:val="3"/>
      </w:pPr>
      <w:r>
        <w:t xml:space="preserve">2.2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(</w:t>
      </w:r>
      <w:r>
        <w:rPr>
          <w:rStyle w:val="VerbatimChar"/>
        </w:rPr>
        <w:t xml:space="preserve">∨</w:t>
      </w:r>
      <w:r>
        <w:t xml:space="preserve">)</w:t>
      </w:r>
    </w:p>
    <w:p>
      <w:pPr>
        <w:pStyle w:val="FirstParagraph"/>
      </w:pPr>
      <w:r>
        <w:rPr>
          <w:rStyle w:val="VerbatimChar"/>
        </w:rPr>
        <w:t xml:space="preserve">Or</w:t>
      </w:r>
      <w:r>
        <w:t xml:space="preserve"> </w:t>
      </w:r>
      <w:r>
        <w:t xml:space="preserve">has two constructors</w:t>
      </w:r>
      <w:r>
        <w:t xml:space="preserve"> </w:t>
      </w:r>
      <w:r>
        <w:rPr>
          <w:rStyle w:val="VerbatimChar"/>
        </w:rPr>
        <w:t xml:space="preserve">Or.inl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Or.inr</w:t>
      </w:r>
      <w:r>
        <w:t xml:space="preserve">.</w:t>
      </w:r>
      <w:r>
        <w:t xml:space="preserve"> </w:t>
      </w:r>
      <w:r>
        <w:t xml:space="preserve">Either a proof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or a proof of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produces a proof of</w:t>
      </w:r>
      <w:r>
        <w:t xml:space="preserve"> </w:t>
      </w:r>
      <w:r>
        <w:rPr>
          <w:rStyle w:val="VerbatimChar"/>
        </w:rPr>
        <w:t xml:space="preserve">p ∨ q</w:t>
      </w:r>
      <w:r>
        <w:t xml:space="preserve">.</w:t>
      </w:r>
    </w:p>
    <w:p>
      <w:pPr>
        <w:pStyle w:val="a0"/>
      </w:pPr>
      <w:r>
        <w:t xml:space="preserve">[TODO]</w:t>
      </w:r>
    </w:p>
    <w:p>
      <w:pPr>
        <w:pStyle w:val="SourceCode"/>
      </w:pPr>
      <w:r>
        <w:rPr>
          <w:rStyle w:val="AttributeTok"/>
        </w:rPr>
        <w:t xml:space="preserve">#print</w:t>
      </w:r>
      <w:r>
        <w:rPr>
          <w:rStyle w:val="NormalTok"/>
        </w:rPr>
        <w:t xml:space="preserve"> Or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Or.inl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Or.inr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Or.elim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Or.rec</w:t>
      </w:r>
    </w:p>
    <w:p>
      <w:pPr>
        <w:pStyle w:val="FirstParagraph"/>
      </w:pPr>
      <w:r>
        <w:t xml:space="preserve">introducing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 : p) : p ∨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Or.inl hp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(hq : q) : p ∨ q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</w:t>
      </w:r>
    </w:p>
    <w:p>
      <w:pPr>
        <w:pStyle w:val="FirstParagraph"/>
      </w:pPr>
      <w:r>
        <w:t xml:space="preserve">elimination rule of</w:t>
      </w:r>
      <w:r>
        <w:t xml:space="preserve"> </w:t>
      </w:r>
      <w:r>
        <w:rPr>
          <w:rStyle w:val="VerbatimChar"/>
        </w:rPr>
        <w:t xml:space="preserve">Or</w:t>
      </w:r>
      <w:r>
        <w:t xml:space="preserve">, universal property of the direct sum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(p ∨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hpq ↦ (Or.elim hpq hpr hqr)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(p ∨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(Or.elim · hpr hqr) </w:t>
      </w:r>
      <w:r>
        <w:rPr>
          <w:rStyle w:val="CommentTok"/>
        </w:rPr>
        <w:t xml:space="preserve">-- note the use of `·`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Or.elim hpq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(p ∨ q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br/>
      </w:r>
      <w:r>
        <w:rPr>
          <w:rStyle w:val="NormalTok"/>
        </w:rPr>
        <w:t xml:space="preserve">  | Or.inl hp =&gt; hpr hp</w:t>
      </w:r>
      <w:r>
        <w:br/>
      </w:r>
      <w:r>
        <w:rPr>
          <w:rStyle w:val="NormalTok"/>
        </w:rPr>
        <w:t xml:space="preserve">  | Or.inr hq =&gt;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br/>
      </w:r>
      <w:r>
        <w:rPr>
          <w:rStyle w:val="NormalTok"/>
        </w:rPr>
        <w:t xml:space="preserve">  | Or.inl hp =&gt; hpr hp</w:t>
      </w:r>
      <w:r>
        <w:br/>
      </w:r>
      <w:r>
        <w:rPr>
          <w:rStyle w:val="NormalTok"/>
        </w:rPr>
        <w:t xml:space="preserve">  | Or.inr hq =&gt;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br/>
      </w:r>
      <w:r>
        <w:rPr>
          <w:rStyle w:val="NormalTok"/>
        </w:rPr>
        <w:t xml:space="preserve">  | Or.inl hp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| Or.inr hq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cases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br/>
      </w:r>
      <w:r>
        <w:rPr>
          <w:rStyle w:val="NormalTok"/>
        </w:rPr>
        <w:t xml:space="preserve">  | inl hp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| inr hq =&gt;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(hpq : p ∨ q) :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hpq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(hp | hq) </w:t>
      </w:r>
      <w:r>
        <w:rPr>
          <w:rStyle w:val="CommentTok"/>
        </w:rPr>
        <w:t xml:space="preserve">-- `rcases` can also destructure `Or`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(hpr : p → r) (hqr : q → r) : p ∨ q → 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rintro (hp | hq) </w:t>
      </w:r>
      <w:r>
        <w:rPr>
          <w:rStyle w:val="CommentTok"/>
        </w:rPr>
        <w:t xml:space="preserve">-- `rintro` is a combination of `intro` and `rcases`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hpr hp</w:t>
      </w:r>
      <w:r>
        <w:br/>
      </w:r>
      <w:r>
        <w:rPr>
          <w:rStyle w:val="NormalTok"/>
        </w:rPr>
        <w:t xml:space="preserve">  ·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hqr hq</w:t>
      </w:r>
    </w:p>
    <w:bookmarkEnd w:id="22"/>
    <w:bookmarkStart w:id="23" w:name="comprehensive-exercises-for-and-and-or"/>
    <w:p>
      <w:pPr>
        <w:pStyle w:val="3"/>
      </w:pPr>
      <w:r>
        <w:t xml:space="preserve">2.3 Comprehensive exercises for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[EXR] distributive laws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p ∧ (q ∨ r) ↔ (p ∧ q) ∨ (p ∧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AlertTok"/>
        </w:rPr>
        <w:t xml:space="preserve">sorry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p ∨ (q ∧ r) ↔ (p ∨ q) ∧ (p ∨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AlertTok"/>
        </w:rPr>
        <w:t xml:space="preserve">sorry</w:t>
      </w:r>
      <w:r>
        <w:br/>
      </w:r>
      <w:r>
        <w:br/>
      </w:r>
      <w:r>
        <w:rPr>
          <w:rStyle w:val="KeywordTok"/>
        </w:rPr>
        <w:t xml:space="preserve">end</w:t>
      </w:r>
    </w:p>
    <w:bookmarkEnd w:id="23"/>
    <w:bookmarkEnd w:id="24"/>
    <w:bookmarkEnd w:id="25"/>
    <w:bookmarkStart w:id="29" w:name="forall-and-exists"/>
    <w:p>
      <w:pPr>
        <w:pStyle w:val="1"/>
      </w:pPr>
      <w:r>
        <w:t xml:space="preserve">. </w:t>
      </w:r>
      <w:r>
        <w:rPr>
          <w:rStyle w:val="VerbatimChar"/>
        </w:rPr>
        <w:t xml:space="preserve">Forall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Exists</w:t>
      </w:r>
    </w:p>
    <w:bookmarkStart w:id="26" w:name="forall"/>
    <w:p>
      <w:pPr>
        <w:pStyle w:val="2"/>
      </w:pPr>
      <w:r>
        <w:t xml:space="preserve">1 Forall (</w:t>
      </w:r>
      <w:r>
        <w:rPr>
          <w:rStyle w:val="VerbatimChar"/>
        </w:rPr>
        <w:t xml:space="preserve">∀</w:t>
      </w:r>
      <w:r>
        <w:t xml:space="preserve">)</w:t>
      </w:r>
    </w:p>
    <w:p>
      <w:pPr>
        <w:pStyle w:val="FirstParagraph"/>
      </w:pPr>
      <w:r>
        <w:t xml:space="preserve">As you may have already noticed,</w:t>
      </w:r>
      <w:r>
        <w:t xml:space="preserve"> </w:t>
      </w:r>
      <w:r>
        <w:rPr>
          <w:rStyle w:val="VerbatimChar"/>
        </w:rPr>
        <w:t xml:space="preserve">∀</w:t>
      </w:r>
      <w:r>
        <w:t xml:space="preserve"> </w:t>
      </w:r>
      <w:r>
        <w:t xml:space="preserve">is just an alternative way of writing</w:t>
      </w:r>
      <w:r>
        <w:t xml:space="preserve"> </w:t>
      </w:r>
      <w:r>
        <w:rPr>
          <w:rStyle w:val="VerbatimChar"/>
        </w:rPr>
        <w:t xml:space="preserve">→</w:t>
      </w:r>
      <w:r>
        <w:t xml:space="preserve">.</w:t>
      </w:r>
      <w:r>
        <w:t xml:space="preserve"> </w:t>
      </w:r>
      <w:r>
        <w:t xml:space="preserve">Say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a predicate on a type</w:t>
      </w:r>
      <w:r>
        <w:t xml:space="preserve"> </w:t>
      </w:r>
      <w:r>
        <w:rPr>
          <w:rStyle w:val="VerbatimChar"/>
        </w:rPr>
        <w:t xml:space="preserve">X</w:t>
      </w:r>
      <w:r>
        <w:t xml:space="preserve">, i.e. of type</w:t>
      </w:r>
      <w:r>
        <w:t xml:space="preserve"> </w:t>
      </w:r>
      <w:r>
        <w:rPr>
          <w:rStyle w:val="VerbatimChar"/>
        </w:rPr>
        <w:t xml:space="preserve">X → Prop</w:t>
      </w:r>
      <w:r>
        <w:t xml:space="preserve">,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∀ x : X, p x</w:t>
      </w:r>
      <w:r>
        <w:t xml:space="preserve"> </w:t>
      </w:r>
      <w:r>
        <w:t xml:space="preserve">is exactly the same as</w:t>
      </w:r>
      <w:r>
        <w:t xml:space="preserve"> </w:t>
      </w:r>
      <w:r>
        <w:rPr>
          <w:rStyle w:val="VerbatimChar"/>
        </w:rPr>
        <w:t xml:space="preserve">(x : X) → p x</w:t>
      </w:r>
      <w:r>
        <w:t xml:space="preserve">.</w:t>
      </w:r>
    </w:p>
    <w:p>
      <w:pPr>
        <w:pStyle w:val="a0"/>
      </w:pPr>
      <w:r>
        <w:t xml:space="preserve">Though</w:t>
      </w:r>
      <w:r>
        <w:t xml:space="preserve"> </w:t>
      </w:r>
      <w:r>
        <w:rPr>
          <w:rStyle w:val="VerbatimChar"/>
        </w:rPr>
        <w:t xml:space="preserve">→</w:t>
      </w:r>
      <w:r>
        <w:t xml:space="preserve"> </w:t>
      </w:r>
      <w:r>
        <w:t xml:space="preserve">is primitive in Lean’s dependent type theory,</w:t>
      </w:r>
      <w:r>
        <w:t xml:space="preserve"> </w:t>
      </w:r>
      <w:r>
        <w:t xml:space="preserve">we may still (perhaps awkwardly) state the introduction and elimination rules of</w:t>
      </w:r>
      <w:r>
        <w:t xml:space="preserve"> </w:t>
      </w:r>
      <w:r>
        <w:rPr>
          <w:rStyle w:val="VerbatimChar"/>
        </w:rPr>
        <w:t xml:space="preserve">∀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Introduction:</w:t>
      </w:r>
      <w:r>
        <w:t xml:space="preserve"> </w:t>
      </w:r>
      <w:r>
        <w:rPr>
          <w:rStyle w:val="VerbatimChar"/>
        </w:rPr>
        <w:t xml:space="preserve">fun (x : X) ↦ (h x : p x)</w:t>
      </w:r>
      <w:r>
        <w:t xml:space="preserve"> </w:t>
      </w:r>
      <w:r>
        <w:t xml:space="preserve">produces a proof of</w:t>
      </w:r>
      <w:r>
        <w:t xml:space="preserve"> </w:t>
      </w:r>
      <w:r>
        <w:rPr>
          <w:rStyle w:val="VerbatimChar"/>
        </w:rPr>
        <w:t xml:space="preserve">∀ x : X, p 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Elimination: Given a proof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∀ x : X, p x</w:t>
      </w:r>
      <w:r>
        <w:t xml:space="preserve">, we can obtain a proof of</w:t>
      </w:r>
      <w:r>
        <w:t xml:space="preserve"> </w:t>
      </w:r>
      <w:r>
        <w:rPr>
          <w:rStyle w:val="VerbatimChar"/>
        </w:rPr>
        <w:t xml:space="preserve">p a</w:t>
      </w:r>
      <w:r>
        <w:t xml:space="preserve"> </w:t>
      </w:r>
      <w:r>
        <w:t xml:space="preserve">for any specific</w:t>
      </w:r>
      <w:r>
        <w:t xml:space="preserve"> </w:t>
      </w:r>
      <w:r>
        <w:rPr>
          <w:rStyle w:val="VerbatimChar"/>
        </w:rPr>
        <w:t xml:space="preserve">a : X</w:t>
      </w:r>
      <w:r>
        <w:t xml:space="preserve">. It is exactly</w:t>
      </w:r>
      <w:r>
        <w:t xml:space="preserve"> </w:t>
      </w:r>
      <w:r>
        <w:rPr>
          <w:rStyle w:val="VerbatimChar"/>
        </w:rPr>
        <w:t xml:space="preserve">h a</w:t>
      </w:r>
      <w:r>
        <w:t xml:space="preserve">.</w:t>
      </w:r>
    </w:p>
    <w:p>
      <w:pPr>
        <w:pStyle w:val="SourceCode"/>
      </w:pPr>
      <w:r>
        <w:rPr>
          <w:rStyle w:val="PreprocessorTok"/>
        </w:rPr>
        <w:t xml:space="preserve">section</w:t>
      </w:r>
      <w:r>
        <w:br/>
      </w:r>
      <w:r>
        <w:br/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{X : 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} (p q : X →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 (r s :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) (a b : X)</w:t>
      </w:r>
      <w:r>
        <w:br/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 : X, p x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</w:t>
      </w:r>
      <w:r>
        <w:rPr>
          <w:rStyle w:val="CommentTok"/>
        </w:rPr>
        <w:t xml:space="preserve">-- Lean is smart enough to infer the type of `x`</w:t>
      </w:r>
    </w:p>
    <w:p>
      <w:pPr>
        <w:pStyle w:val="FirstParagraph"/>
      </w:pPr>
      <w:r>
        <w:t xml:space="preserve">[IGNORE]</w:t>
      </w:r>
      <w:r>
        <w:t xml:space="preserve"> </w:t>
      </w:r>
      <w:r>
        <w:t xml:space="preserve">Writing</w:t>
      </w:r>
      <w:r>
        <w:t xml:space="preserve"> </w:t>
      </w:r>
      <w:r>
        <w:rPr>
          <w:rStyle w:val="VerbatimChar"/>
        </w:rPr>
        <w:t xml:space="preserve">∀</w:t>
      </w:r>
      <w:r>
        <w:t xml:space="preserve"> </w:t>
      </w:r>
      <w:r>
        <w:t xml:space="preserve">emphasizes that the arrow</w:t>
      </w:r>
      <w:r>
        <w:t xml:space="preserve"> </w:t>
      </w:r>
      <w:r>
        <w:rPr>
          <w:rStyle w:val="VerbatimChar"/>
        </w:rPr>
        <w:t xml:space="preserve">→</w:t>
      </w:r>
      <w:r>
        <w:t xml:space="preserve"> </w:t>
      </w:r>
      <w:r>
        <w:t xml:space="preserve">is of dependent type,</w:t>
      </w:r>
      <w:r>
        <w:t xml:space="preserve"> </w:t>
      </w:r>
      <w:r>
        <w:t xml:space="preserve">and the domain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type, not a proposition.</w:t>
      </w:r>
      <w:r>
        <w:t xml:space="preserve"> </w:t>
      </w:r>
      <w:r>
        <w:t xml:space="preserve">But they are just purely psychological, as the following examples show.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: (hrs : r → s) →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_ : r, s)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hrs</w:t>
      </w:r>
    </w:p>
    <w:bookmarkEnd w:id="26"/>
    <w:bookmarkStart w:id="28" w:name="exists"/>
    <w:p>
      <w:pPr>
        <w:pStyle w:val="2"/>
      </w:pPr>
      <w:r>
        <w:t xml:space="preserve">2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(</w:t>
      </w:r>
      <w:r>
        <w:rPr>
          <w:rStyle w:val="VerbatimChar"/>
        </w:rPr>
        <w:t xml:space="preserve">∃</w:t>
      </w:r>
      <w:r>
        <w:t xml:space="preserve">)</w:t>
      </w:r>
    </w:p>
    <w:p>
      <w:pPr>
        <w:pStyle w:val="FirstParagraph"/>
      </w:pPr>
      <w:r>
        <w:rPr>
          <w:rStyle w:val="VerbatimChar"/>
        </w:rPr>
        <w:t xml:space="preserve">∃</w:t>
      </w:r>
      <w:r>
        <w:t xml:space="preserve"> </w:t>
      </w:r>
      <w:r>
        <w:t xml:space="preserve">is a bit more complicated.</w:t>
      </w:r>
    </w:p>
    <w:p>
      <w:pPr>
        <w:pStyle w:val="a0"/>
      </w:pPr>
      <w:r>
        <w:t xml:space="preserve">Slogan:</w:t>
      </w:r>
      <w:r>
        <w:t xml:space="preserve"> </w:t>
      </w:r>
      <w:r>
        <w:rPr>
          <w:rStyle w:val="VerbatimChar"/>
        </w:rPr>
        <w:t xml:space="preserve">∀</w:t>
      </w:r>
      <w:r>
        <w:t xml:space="preserve"> </w:t>
      </w:r>
      <w:r>
        <w:t xml:space="preserve">is a dependent</w:t>
      </w:r>
      <w:r>
        <w:t xml:space="preserve"> </w:t>
      </w:r>
      <w:r>
        <w:rPr>
          <w:rStyle w:val="VerbatimChar"/>
        </w:rPr>
        <w:t xml:space="preserve">→</w:t>
      </w:r>
      <w:r>
        <w:t xml:space="preserve">,</w:t>
      </w:r>
      <w:r>
        <w:t xml:space="preserve"> </w:t>
      </w:r>
      <w:r>
        <w:rPr>
          <w:rStyle w:val="VerbatimChar"/>
        </w:rPr>
        <w:t xml:space="preserve">∃</w:t>
      </w:r>
      <w:r>
        <w:t xml:space="preserve"> </w:t>
      </w:r>
      <w:r>
        <w:t xml:space="preserve">is a dependent</w:t>
      </w:r>
      <w:r>
        <w:t xml:space="preserve"> </w:t>
      </w:r>
      <w:r>
        <w:rPr>
          <w:rStyle w:val="VerbatimChar"/>
        </w:rPr>
        <w:t xml:space="preserve">×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∧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 </w:t>
      </w:r>
      <w:r>
        <w:t xml:space="preserve">universe)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 : X, p x</w:t>
      </w:r>
      <w:r>
        <w:br/>
      </w:r>
      <w:r>
        <w:rPr>
          <w:rStyle w:val="AttributeTok"/>
        </w:rPr>
        <w:t xml:space="preserve">#check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CommentTok"/>
        </w:rPr>
        <w:t xml:space="preserve">-- Lean is smart enough to infer the type of `x`</w:t>
      </w:r>
    </w:p>
    <w:p>
      <w:pPr>
        <w:pStyle w:val="FirstParagraph"/>
      </w:pPr>
      <w:r>
        <w:rPr>
          <w:rStyle w:val="VerbatimChar"/>
        </w:rPr>
        <w:t xml:space="preserve">∃ x : X, p x</w:t>
      </w:r>
      <w:r>
        <w:t xml:space="preserve"> </w:t>
      </w:r>
      <w:r>
        <w:t xml:space="preserve">means that we have the following data:</w:t>
      </w:r>
    </w:p>
    <w:p>
      <w:pPr>
        <w:pStyle w:val="Compact"/>
        <w:numPr>
          <w:ilvl w:val="0"/>
          <w:numId w:val="1002"/>
        </w:numPr>
      </w:pPr>
      <w:r>
        <w:t xml:space="preserve">an element</w:t>
      </w:r>
      <w:r>
        <w:t xml:space="preserve"> </w:t>
      </w:r>
      <w:r>
        <w:rPr>
          <w:rStyle w:val="VerbatimChar"/>
        </w:rPr>
        <w:t xml:space="preserve">a : X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a proof</w:t>
      </w:r>
      <w:r>
        <w:t xml:space="preserve"> </w:t>
      </w:r>
      <w:r>
        <w:rPr>
          <w:rStyle w:val="VerbatimChar"/>
        </w:rPr>
        <w:t xml:space="preserve">h : p a</w:t>
      </w:r>
      <w:r>
        <w:t xml:space="preserve">.</w:t>
      </w:r>
    </w:p>
    <w:p>
      <w:pPr>
        <w:pStyle w:val="FirstParagraph"/>
      </w:pPr>
      <w:r>
        <w:t xml:space="preserve">So a pair</w:t>
      </w:r>
      <w:r>
        <w:t xml:space="preserve"> </w:t>
      </w:r>
      <w:r>
        <w:rPr>
          <w:rStyle w:val="VerbatimChar"/>
        </w:rPr>
        <w:t xml:space="preserve">(a, h)</w:t>
      </w:r>
      <w:r>
        <w:t xml:space="preserve"> </w:t>
      </w:r>
      <w:r>
        <w:t xml:space="preserve">would suffice to construct a proof of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.</w:t>
      </w:r>
    </w:p>
    <w:p>
      <w:pPr>
        <w:pStyle w:val="a0"/>
      </w:pPr>
      <w:r>
        <w:t xml:space="preserve">This is the defining introduction rule of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as an inductive type.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Exists.</w:t>
      </w:r>
      <w:r>
        <w:rPr>
          <w:rStyle w:val="FunctionTok"/>
        </w:rPr>
        <w:t xml:space="preserve">intro</w:t>
      </w:r>
    </w:p>
    <w:p>
      <w:pPr>
        <w:pStyle w:val="FirstParagraph"/>
      </w:pPr>
      <w:r>
        <w:t xml:space="preserve">As like</w:t>
      </w:r>
      <w:r>
        <w:t xml:space="preserve"> </w:t>
      </w:r>
      <w:r>
        <w:rPr>
          <w:rStyle w:val="VerbatimChar"/>
        </w:rPr>
        <w:t xml:space="preserve">And</w:t>
      </w:r>
      <w:r>
        <w:t xml:space="preserve">, you may use the anonymous constructor notation</w:t>
      </w:r>
      <w:r>
        <w:t xml:space="preserve"> </w:t>
      </w:r>
      <w:r>
        <w:rPr>
          <w:rStyle w:val="VerbatimChar"/>
        </w:rPr>
        <w:t xml:space="preserve">⟨a, h⟩</w:t>
      </w:r>
      <w:r>
        <w:t xml:space="preserve"> </w:t>
      </w:r>
      <w:r>
        <w:t xml:space="preserve">to mean</w:t>
      </w:r>
      <w:r>
        <w:t xml:space="preserve"> </w:t>
      </w:r>
      <w:r>
        <w:rPr>
          <w:rStyle w:val="VerbatimChar"/>
        </w:rPr>
        <w:t xml:space="preserve">Exists.intro a h</w:t>
      </w:r>
      <w:r>
        <w:t xml:space="preserve">.</w:t>
      </w:r>
    </w:p>
    <w:p>
      <w:pPr>
        <w:pStyle w:val="a0"/>
      </w:pPr>
      <w:r>
        <w:t xml:space="preserve">In tactic mode,</w:t>
      </w:r>
      <w:r>
        <w:t xml:space="preserve"> </w:t>
      </w:r>
      <w:r>
        <w:rPr>
          <w:rStyle w:val="VerbatimChar"/>
        </w:rPr>
        <w:t xml:space="preserve">use a</w:t>
      </w:r>
      <w:r>
        <w:t xml:space="preserve"> </w:t>
      </w:r>
      <w:r>
        <w:t xml:space="preserve">make use of</w:t>
      </w:r>
      <w:r>
        <w:t xml:space="preserve"> </w:t>
      </w:r>
      <w:r>
        <w:rPr>
          <w:rStyle w:val="VerbatimChar"/>
        </w:rPr>
        <w:t xml:space="preserve">Exists.intro a</w:t>
      </w:r>
      <w:r>
        <w:t xml:space="preserve"> </w:t>
      </w:r>
      <w:r>
        <w:t xml:space="preserve">to reduce</w:t>
      </w:r>
      <w:r>
        <w:t xml:space="preserve"> </w:t>
      </w:r>
      <w:r>
        <w:t xml:space="preserve">the goal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 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 (a : X) (h : p a)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Exists.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a h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(a : X) (h : p a)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⟨a, h⟩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(a : X) (h : p a)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 a</w:t>
      </w:r>
      <w:r>
        <w:br/>
      </w:r>
      <w:r>
        <w:br/>
      </w:r>
      <w:r>
        <w:rPr>
          <w:rStyle w:val="CommentTok"/>
        </w:rPr>
        <w:t xml:space="preserve">-- [EXR]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(x y z : ℕ) (hxy : x &lt; y) (hyz : y &lt; z) : 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w, x &lt; w ∧ w &lt; z </w:t>
      </w:r>
      <w:r>
        <w:rPr>
          <w:rStyle w:val="OperatorTok"/>
        </w:rPr>
        <w:t xml:space="preserve">:=</w:t>
      </w:r>
      <w:r>
        <w:br/>
      </w:r>
      <w:r>
        <w:rPr>
          <w:rStyle w:val="NormalTok"/>
        </w:rPr>
        <w:t xml:space="preserve">  ⟨y, ⟨hxy, hyz⟩⟩</w:t>
      </w:r>
    </w:p>
    <w:p>
      <w:pPr>
        <w:pStyle w:val="FirstParagraph"/>
      </w:pPr>
      <w:r>
        <w:t xml:space="preserve">Note that in the defining pair</w:t>
      </w:r>
      <w:r>
        <w:t xml:space="preserve"> </w:t>
      </w:r>
      <w:r>
        <w:rPr>
          <w:rStyle w:val="VerbatimChar"/>
        </w:rPr>
        <w:t xml:space="preserve">(a, h)</w:t>
      </w:r>
      <w:r>
        <w:t xml:space="preserve">,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is a proof of</w:t>
      </w:r>
      <w:r>
        <w:t xml:space="preserve"> </w:t>
      </w:r>
      <w:r>
        <w:rPr>
          <w:rStyle w:val="VerbatimChar"/>
        </w:rPr>
        <w:t xml:space="preserve">p a</w:t>
      </w:r>
      <w:r>
        <w:t xml:space="preserve">, whose type depends on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t xml:space="preserve">Thus psychologically, you may view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 </w:t>
      </w:r>
      <w:r>
        <w:t xml:space="preserve">as a dependent pair type</w:t>
      </w:r>
      <w:r>
        <w:t xml:space="preserve"> </w:t>
      </w:r>
      <w:r>
        <w:rPr>
          <w:rStyle w:val="VerbatimChar"/>
        </w:rPr>
        <w:t xml:space="preserve">(x : X) × (p x)</w:t>
      </w:r>
      <w:r>
        <w:t xml:space="preserve">.</w:t>
      </w:r>
    </w:p>
    <w:p>
      <w:pPr>
        <w:pStyle w:val="a0"/>
      </w:pPr>
      <w:r>
        <w:t xml:space="preserve">Have writing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as a dependent pair type reminded you of the currification process?</w:t>
      </w:r>
    </w:p>
    <w:p>
      <w:pPr>
        <w:pStyle w:val="a0"/>
      </w:pPr>
      <w:r>
        <w:t xml:space="preserve">Elimination rule:</w:t>
      </w:r>
      <w:r>
        <w:t xml:space="preserve"> </w:t>
      </w:r>
      <w:r>
        <w:t xml:space="preserve">To construct the implication</w:t>
      </w:r>
      <w:r>
        <w:t xml:space="preserve"> </w:t>
      </w:r>
      <w:r>
        <w:rPr>
          <w:rStyle w:val="VerbatimChar"/>
        </w:rPr>
        <w:t xml:space="preserve">(∃ x : X, p x) → q</w:t>
      </w:r>
      <w:r>
        <w:t xml:space="preserve">, it suffices to have a proof of</w:t>
      </w:r>
      <w:r>
        <w:t xml:space="preserve"> </w:t>
      </w:r>
      <w:r>
        <w:rPr>
          <w:rStyle w:val="VerbatimChar"/>
        </w:rPr>
        <w:t xml:space="preserve">(∀ x : X, p x → q)</w:t>
      </w:r>
      <w:r>
        <w:t xml:space="preserve">, i.e. </w:t>
      </w:r>
      <w:r>
        <w:rPr>
          <w:rStyle w:val="VerbatimChar"/>
        </w:rPr>
        <w:t xml:space="preserve">(x : X) → p x → q</w:t>
      </w:r>
      <w:r>
        <w:t xml:space="preserve">.</w:t>
      </w:r>
    </w:p>
    <w:p>
      <w:pPr>
        <w:pStyle w:val="a0"/>
      </w:pPr>
      <w:r>
        <w:t xml:space="preserve">In tactic mode,</w:t>
      </w:r>
      <w:r>
        <w:t xml:space="preserve"> </w:t>
      </w:r>
      <w:r>
        <w:rPr>
          <w:rStyle w:val="VerbatimChar"/>
        </w:rPr>
        <w:t xml:space="preserve">rcases h with ⟨a, ha⟩</w:t>
      </w:r>
      <w:r>
        <w:t xml:space="preserve"> </w:t>
      </w:r>
      <w:r>
        <w:t xml:space="preserve">make use of this elimination rule to break down</w:t>
      </w:r>
      <w:r>
        <w:t xml:space="preserve"> </w:t>
      </w:r>
      <w:r>
        <w:t xml:space="preserve">a hypothesis</w:t>
      </w:r>
      <w:r>
        <w:t xml:space="preserve"> </w:t>
      </w:r>
      <w:r>
        <w:rPr>
          <w:rStyle w:val="VerbatimChar"/>
        </w:rPr>
        <w:t xml:space="preserve">h : ∃ x : X, p x</w:t>
      </w:r>
      <w:r>
        <w:t xml:space="preserve"> </w:t>
      </w:r>
      <w:r>
        <w:t xml:space="preserve">into a witness</w:t>
      </w:r>
      <w:r>
        <w:t xml:space="preserve"> </w:t>
      </w:r>
      <w:r>
        <w:rPr>
          <w:rStyle w:val="VerbatimChar"/>
        </w:rPr>
        <w:t xml:space="preserve">a : X</w:t>
      </w:r>
      <w:r>
        <w:t xml:space="preserve"> </w:t>
      </w:r>
      <w:r>
        <w:t xml:space="preserve">and a proof</w:t>
      </w:r>
      <w:r>
        <w:t xml:space="preserve"> </w:t>
      </w:r>
      <w:r>
        <w:rPr>
          <w:rStyle w:val="VerbatimChar"/>
        </w:rPr>
        <w:t xml:space="preserve">ha : p a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#check</w:t>
      </w:r>
      <w:r>
        <w:rPr>
          <w:rStyle w:val="NormalTok"/>
        </w:rPr>
        <w:t xml:space="preserve"> Exists.elim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→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hf 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Exists.elim he hf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→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hf 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rcases</w:t>
      </w:r>
      <w:r>
        <w:rPr>
          <w:rStyle w:val="NormalTok"/>
        </w:rPr>
        <w:t xml:space="preserve"> he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⟨a, hpa⟩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hf a hpa</w:t>
      </w:r>
      <w:r>
        <w:br/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→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 ⟨a, hpa⟩ </w:t>
      </w:r>
      <w:r>
        <w:rPr>
          <w:rStyle w:val="CommentTok"/>
        </w:rPr>
        <w:t xml:space="preserve">-- you may also `rcases` explicitly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 a hpa</w:t>
      </w:r>
      <w:r>
        <w:br/>
      </w:r>
      <w:r>
        <w:br/>
      </w:r>
      <w:r>
        <w:rPr>
          <w:rStyle w:val="CommentTok"/>
        </w:rPr>
        <w:t xml:space="preserve">-- [EXR] reverse direction is also true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 ((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→ r) → (</w:t>
      </w:r>
      <w:r>
        <w:rPr>
          <w:rStyle w:val="KeywordTok"/>
        </w:rPr>
        <w:t xml:space="preserve">∀</w:t>
      </w:r>
      <w:r>
        <w:rPr>
          <w:rStyle w:val="NormalTok"/>
        </w:rPr>
        <w:t xml:space="preserve"> x, p x → r)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h a hpa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use a</w:t>
      </w:r>
      <w:r>
        <w:br/>
      </w:r>
      <w:r>
        <w:br/>
      </w:r>
      <w:r>
        <w:rPr>
          <w:rStyle w:val="CommentTok"/>
        </w:rPr>
        <w:t xml:space="preserve">-- [EXR]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r ∧ p x) → r ∧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r ∧ p x)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 ⟨a, ⟨hr, hpa⟩⟩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⟨hr, ⟨a, ⟨hr, hpa⟩⟩⟩</w:t>
      </w:r>
      <w:r>
        <w:br/>
      </w:r>
      <w:r>
        <w:br/>
      </w:r>
      <w:r>
        <w:rPr>
          <w:rStyle w:val="CommentTok"/>
        </w:rPr>
        <w:t xml:space="preserve">-- [EXR]</w:t>
      </w:r>
      <w:r>
        <w:br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 :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 ∨ q x) ↔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p x) ∨ (</w:t>
      </w:r>
      <w:r>
        <w:rPr>
          <w:rStyle w:val="KeywordTok"/>
        </w:rPr>
        <w:t xml:space="preserve">∃</w:t>
      </w:r>
      <w:r>
        <w:rPr>
          <w:rStyle w:val="NormalTok"/>
        </w:rPr>
        <w:t xml:space="preserve"> x, q x)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br/>
      </w:r>
      <w:r>
        <w:rPr>
          <w:rStyle w:val="NormalTok"/>
        </w:rPr>
        <w:t xml:space="preserve">  · rintro ⟨a, (hpa | hqa)⟩</w:t>
      </w:r>
      <w:r>
        <w:br/>
      </w:r>
      <w:r>
        <w:rPr>
          <w:rStyle w:val="NormalTok"/>
        </w:rPr>
        <w:t xml:space="preserve">    · 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; use a</w:t>
      </w:r>
      <w:r>
        <w:br/>
      </w:r>
      <w:r>
        <w:rPr>
          <w:rStyle w:val="NormalTok"/>
        </w:rPr>
        <w:t xml:space="preserve">    ·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; use a</w:t>
      </w:r>
      <w:r>
        <w:br/>
      </w:r>
      <w:r>
        <w:rPr>
          <w:rStyle w:val="NormalTok"/>
        </w:rPr>
        <w:t xml:space="preserve">  · rintro (⟨a, hpa⟩ | ⟨a, hqa⟩)</w:t>
      </w:r>
      <w:r>
        <w:br/>
      </w:r>
      <w:r>
        <w:rPr>
          <w:rStyle w:val="NormalTok"/>
        </w:rPr>
        <w:t xml:space="preserve">    · use a; 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hpa</w:t>
      </w:r>
      <w:r>
        <w:br/>
      </w:r>
      <w:r>
        <w:rPr>
          <w:rStyle w:val="NormalTok"/>
        </w:rPr>
        <w:t xml:space="preserve">    · use a;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; </w:t>
      </w:r>
      <w:r>
        <w:rPr>
          <w:rStyle w:val="FunctionTok"/>
        </w:rPr>
        <w:t xml:space="preserve">exact</w:t>
      </w:r>
      <w:r>
        <w:rPr>
          <w:rStyle w:val="NormalTok"/>
        </w:rPr>
        <w:t xml:space="preserve"> hqa</w:t>
      </w:r>
      <w:r>
        <w:br/>
      </w:r>
      <w:r>
        <w:br/>
      </w:r>
      <w:r>
        <w:rPr>
          <w:rStyle w:val="KeywordTok"/>
        </w:rPr>
        <w:t xml:space="preserve">end</w:t>
      </w:r>
    </w:p>
    <w:bookmarkStart w:id="27" w:name="ignore-a-cosmological-remark"/>
    <w:p>
      <w:pPr>
        <w:pStyle w:val="3"/>
      </w:pPr>
      <w:r>
        <w:t xml:space="preserve">2.1 [IGNORE] A cosmological remark</w:t>
      </w:r>
    </w:p>
    <w:p>
      <w:pPr>
        <w:pStyle w:val="FirstParagraph"/>
      </w:pPr>
      <w:r>
        <w:t xml:space="preserve">The pair</w:t>
      </w:r>
      <w:r>
        <w:t xml:space="preserve"> </w:t>
      </w:r>
      <w:r>
        <w:rPr>
          <w:rStyle w:val="VerbatimChar"/>
        </w:rPr>
        <w:t xml:space="preserve">(a, h)</w:t>
      </w:r>
      <w:r>
        <w:t xml:space="preserve"> </w:t>
      </w:r>
      <w:r>
        <w:t xml:space="preserve">actually do not have type</w:t>
      </w:r>
      <w:r>
        <w:t xml:space="preserve"> </w:t>
      </w:r>
      <w:r>
        <w:rPr>
          <w:rStyle w:val="VerbatimChar"/>
        </w:rPr>
        <w:t xml:space="preserve">(x : X) × (p x)</w:t>
      </w:r>
      <w:r>
        <w:t xml:space="preserve">.</w:t>
      </w:r>
      <w:r>
        <w:t xml:space="preserve"> </w:t>
      </w:r>
      <w:r>
        <w:t xml:space="preserve">The latter notation is actually for the</w:t>
      </w:r>
      <w:r>
        <w:t xml:space="preserve"> </w:t>
      </w:r>
      <w:r>
        <w:rPr>
          <w:i/>
          <w:iCs/>
        </w:rPr>
        <w:t xml:space="preserve">dependent pair type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Sigma</w:t>
      </w:r>
      <w:r>
        <w:t xml:space="preserve"> </w:t>
      </w:r>
      <w:r>
        <w:t xml:space="preserve">type),</w:t>
      </w:r>
      <w:r>
        <w:t xml:space="preserve"> </w:t>
      </w:r>
      <w:r>
        <w:t xml:space="preserve">which lives in</w:t>
      </w:r>
      <w:r>
        <w:t xml:space="preserve"> </w:t>
      </w:r>
      <w:r>
        <w:rPr>
          <w:rStyle w:val="VerbatimChar"/>
        </w:rPr>
        <w:t xml:space="preserve">Type*</w:t>
      </w:r>
      <w:r>
        <w:t xml:space="preserve"> </w:t>
      </w:r>
      <w:r>
        <w:t xml:space="preserve">universe.</w:t>
      </w:r>
    </w:p>
    <w:p>
      <w:pPr>
        <w:pStyle w:val="a0"/>
      </w:pPr>
      <w:r>
        <w:t xml:space="preserve">But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should live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,</w:t>
      </w:r>
      <w:r>
        <w:t xml:space="preserve"> </w:t>
      </w:r>
      <w:r>
        <w:t xml:space="preserve">and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 </w:t>
      </w:r>
      <w:r>
        <w:t xml:space="preserve">universe we admit</w:t>
      </w:r>
      <w:r>
        <w:t xml:space="preserve"> </w:t>
      </w:r>
      <w:r>
        <w:rPr>
          <w:i/>
          <w:iCs/>
        </w:rPr>
        <w:t xml:space="preserve">proof-irrelevance</w:t>
      </w:r>
      <w:r>
        <w:t xml:space="preserve">, i.e. we do not save data.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Exists</w:t>
      </w:r>
      <w:r>
        <w:t xml:space="preserve"> </w:t>
      </w:r>
      <w:r>
        <w:t xml:space="preserve">forget the exact witness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once it is proved.</w:t>
      </w:r>
    </w:p>
    <w:p>
      <w:pPr>
        <w:pStyle w:val="a0"/>
      </w:pPr>
      <w:r>
        <w:t xml:space="preserve">This</w:t>
      </w:r>
      <w:r>
        <w:t xml:space="preserve"> </w:t>
      </w:r>
      <w:r>
        <w:t xml:space="preserve">“forgetfulness”</w:t>
      </w:r>
      <w:r>
        <w:t xml:space="preserve"> </w:t>
      </w:r>
      <w:r>
        <w:t xml:space="preserve">is revealed by the fact that there is no elimination rule</w:t>
      </w:r>
      <w:r>
        <w:t xml:space="preserve"> </w:t>
      </w:r>
      <w:r>
        <w:rPr>
          <w:rStyle w:val="VerbatimChar"/>
        </w:rPr>
        <w:t xml:space="preserve">Exists.fst</w:t>
      </w:r>
      <w:r>
        <w:t xml:space="preserve"> </w:t>
      </w:r>
      <w:r>
        <w:t xml:space="preserve">to extract the witness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from a proof of</w:t>
      </w:r>
      <w:r>
        <w:t xml:space="preserve"> </w:t>
      </w:r>
      <w:r>
        <w:rPr>
          <w:rStyle w:val="VerbatimChar"/>
        </w:rPr>
        <w:t xml:space="preserve">∃ x : X, p x</w:t>
      </w:r>
      <w:r>
        <w:t xml:space="preserve">,</w:t>
      </w:r>
      <w:r>
        <w:t xml:space="preserve"> </w:t>
      </w:r>
      <w:r>
        <w:t xml:space="preserve">as long as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lives in the</w:t>
      </w:r>
      <w:r>
        <w:t xml:space="preserve"> </w:t>
      </w:r>
      <w:r>
        <w:rPr>
          <w:rStyle w:val="VerbatimChar"/>
        </w:rPr>
        <w:t xml:space="preserve">Type*</w:t>
      </w:r>
      <w:r>
        <w:t xml:space="preserve"> </w:t>
      </w:r>
      <w:r>
        <w:t xml:space="preserve">universe.</w:t>
      </w:r>
      <w:r>
        <w:t xml:space="preserve"> </w:t>
      </w:r>
      <w:r>
        <w:t xml:space="preserve">(Note that</w:t>
      </w:r>
      <w:r>
        <w:t xml:space="preserve"> </w:t>
      </w:r>
      <w:r>
        <w:rPr>
          <w:rStyle w:val="VerbatimChar"/>
        </w:rPr>
        <w:t xml:space="preserve">Exists.elim</w:t>
      </w:r>
      <w:r>
        <w:t xml:space="preserve"> </w:t>
      </w:r>
      <w:r>
        <w:t xml:space="preserve">can only produce propositions in</w:t>
      </w:r>
      <w:r>
        <w:t xml:space="preserve"> </w:t>
      </w:r>
      <w:r>
        <w:rPr>
          <w:rStyle w:val="VerbatimChar"/>
        </w:rPr>
        <w:t xml:space="preserve">Prop</w:t>
      </w:r>
      <w:r>
        <w:t xml:space="preserve">)</w:t>
      </w:r>
    </w:p>
    <w:bookmarkEnd w:id="27"/>
    <w:bookmarkEnd w:id="28"/>
    <w:bookmarkEnd w:id="29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Lean Include</dc:title>
  <dc:creator/>
  <dc:language>en</dc:language>
  <cp:keywords/>
  <dcterms:created xsi:type="dcterms:W3CDTF">2025-10-15T09:21:12Z</dcterms:created>
  <dcterms:modified xsi:type="dcterms:W3CDTF">2025-10-15T09:21:12Z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file demonstrates the lean-include feature.</vt:lpwstr>
  </property>
  <property fmtid="{D5CDD505-2E9C-101B-9397-08002B2CF9AE}" pid="3" name="biblio-config">
    <vt:lpwstr>True</vt:lpwstr>
  </property>
  <property fmtid="{D5CDD505-2E9C-101B-9397-08002B2CF9AE}" pid="4" name="callouty-theorem">
    <vt:lpwstr/>
  </property>
  <property fmtid="{D5CDD505-2E9C-101B-9397-08002B2CF9AE}" pid="5" name="cap-location">
    <vt:lpwstr>bottom</vt:lpwstr>
  </property>
  <property fmtid="{D5CDD505-2E9C-101B-9397-08002B2CF9AE}" pid="6" name="csl">
    <vt:lpwstr>../_assets/ieee.csl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oc-title">
    <vt:lpwstr>Table of contents</vt:lpwstr>
  </property>
</Properties>
</file>