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sdacs-특허-도면-매핑-figure-mapping"/>
    <w:p>
      <w:pPr>
        <w:pStyle w:val="Heading1"/>
      </w:pPr>
      <w:r>
        <w:t xml:space="preserve">SDACS 특허 도면 매핑 (Figure Mapping)</w:t>
      </w:r>
    </w:p>
    <w:p>
      <w:pPr>
        <w:pStyle w:val="FirstParagraph"/>
      </w:pPr>
      <w:r>
        <w:t xml:space="preserve">본 문서는 특허 명세서(</w:t>
      </w:r>
      <w:r>
        <w:rPr>
          <w:rStyle w:val="VerbatimChar"/>
        </w:rPr>
        <w:t xml:space="preserve">SDACS_특허명세서.md</w:t>
      </w:r>
      <w:r>
        <w:t xml:space="preserve">)의 【도 1】~【도 7】이 기존</w:t>
      </w:r>
      <w:r>
        <w:t xml:space="preserve"> </w:t>
      </w:r>
      <w:r>
        <w:rPr>
          <w:rStyle w:val="VerbatimChar"/>
        </w:rPr>
        <w:t xml:space="preserve">docs/images/</w:t>
      </w:r>
      <w:r>
        <w:t xml:space="preserve"> </w:t>
      </w:r>
      <w:r>
        <w:t xml:space="preserve">자산 및 신규 생성 필요 자산에 어떻게 매핑되는지 정의한다.</w:t>
      </w:r>
    </w:p>
    <w:p>
      <w:r>
        <w:pict>
          <v:rect style="width:0;height:1.5pt" o:hralign="center" o:hrstd="t" o:hr="t"/>
        </w:pict>
      </w:r>
    </w:p>
    <w:bookmarkStart w:id="20" w:name="Xa8631e07b6b421543715ceca735f6ffe9c67fdf"/>
    <w:p>
      <w:pPr>
        <w:pStyle w:val="Heading2"/>
      </w:pPr>
      <w:r>
        <w:t xml:space="preserve">1. 매핑 테이블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도면번호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재활용 자산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작업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출원 제출 형식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도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4계층 시스템 아키텍처 개념도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docs/images/architecture.svg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특허용 흑백 변환, 참조부호 부여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흑백 SVG → TIFF 300dpi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도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동적 3D 지오펜스 생성 절차 흐름도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docs/images/algorithm_flow.svg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지오펜스 생성 단계(S210~S250)로 재작성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흑백 SVG → TIFF 300dpi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도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분산 CD&amp;R 브로드캐스트 시퀀스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신규 작성</w:t>
            </w:r>
            <w:r>
              <w:t xml:space="preserve"> </w:t>
            </w:r>
            <w:r>
              <w:t xml:space="preserve">(UML 시퀀스 다이어그램)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PlantUML/Mermaid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도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APF 벡터 합성 및 강풍 모드 전환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docs/images/idea2_distributed_apf.png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벡터 화살표 명확화, 수식 부호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벡터 SVG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도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WebGPU Compute Shader 병렬 파이프라인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docs/images/detection_pipeline.svg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버퍼·Workgroup 표기 보강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흑백 SVG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도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Monte Carlo 38,400회 분포 그래프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docs/images/conflict_resolution_heatmap.png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히트맵 → 누적분포(CDF)로 변환 권장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흑백 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도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7개 광역시 시나리오 KPI 레이더 차트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docs/images/scenario_kpi_radar.png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 라벨 영/한 병기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벡터 SVG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d957da72f020079e0b6ac91952e43b288cfca15"/>
    <w:p>
      <w:pPr>
        <w:pStyle w:val="Heading2"/>
      </w:pPr>
      <w:r>
        <w:t xml:space="preserve">2. 특허 출원용 도면 작성 규칙 (KIPO 기준)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색상 금지</w:t>
      </w:r>
      <w:r>
        <w:t xml:space="preserve">: 원칙적으로 흑백 선화(line drawing). 회색 음영은 최소화.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참조부호(도면부호)</w:t>
      </w:r>
      <w:r>
        <w:t xml:space="preserve">: 모든 구성요소에 숫자 부호 부여 (예:</w:t>
      </w:r>
      <w:r>
        <w:t xml:space="preserve"> </w:t>
      </w:r>
      <w:r>
        <w:rPr>
          <w:rStyle w:val="VerbatimChar"/>
        </w:rPr>
        <w:t xml:space="preserve">100</w:t>
      </w:r>
      <w:r>
        <w:t xml:space="preserve"> </w:t>
      </w:r>
      <w:r>
        <w:t xml:space="preserve">드론 에이전트,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공역 제어기,</w:t>
      </w:r>
      <w:r>
        <w:t xml:space="preserve"> </w:t>
      </w:r>
      <w:r>
        <w:rPr>
          <w:rStyle w:val="VerbatimChar"/>
        </w:rPr>
        <w:t xml:space="preserve">210</w:t>
      </w:r>
      <w:r>
        <w:t xml:space="preserve"> </w:t>
      </w:r>
      <w:r>
        <w:t xml:space="preserve">동적 지오펜싱 모듈).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해상도</w:t>
      </w:r>
      <w:r>
        <w:t xml:space="preserve">: TIFF 300dpi 이상 또는 SVG/PDF 벡터.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글꼴</w:t>
      </w:r>
      <w:r>
        <w:t xml:space="preserve">: 한글/영문 명확히 식별 가능한 크기(최소 3pt 이상).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사진 사용 금지</w:t>
      </w:r>
      <w:r>
        <w:t xml:space="preserve">: 실제 드론 사진이 아닌 개념도/블록도만 허용.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A4 단면</w:t>
      </w:r>
      <w:r>
        <w:t xml:space="preserve">: 각 도면은 A4 용지 한 면에 수록되도록 배치.</w:t>
      </w:r>
    </w:p>
    <w:p>
      <w:r>
        <w:pict>
          <v:rect style="width:0;height:1.5pt" o:hralign="center" o:hrstd="t" o:hr="t"/>
        </w:pict>
      </w:r>
    </w:p>
    <w:bookmarkEnd w:id="21"/>
    <w:bookmarkStart w:id="22" w:name="X40c1f50787cc40b9fef7abbc63b5ff813097526"/>
    <w:p>
      <w:pPr>
        <w:pStyle w:val="Heading2"/>
      </w:pPr>
      <w:r>
        <w:t xml:space="preserve">3. 참조부호 체계 (도면 내 사용)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부호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대응 청구항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드론 에이전트 (Layer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청구항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드론 상태 관리부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센서 입력부 (풍속센서 포함)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청구항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공역 제어기 (Layer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청구항 1,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동적 지오펜싱 모듈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청구항 1,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APF 경로 계획 모듈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청구항 1,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분산 CD&amp;R 모듈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청구항 1,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기상 적응형 파라미터 전환 모듈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청구항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공역 상태 저장소 (펜스 DB + TTL 관리)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청구항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시뮬레이션 엔진 (Layer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청구항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UI/CLI (Layer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청구항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병렬 가속 모듈 (WebGPU Compute)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청구항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버퍼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Workgroup 디스패처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30" w:name="X809e25c153c3321443d3f4f598ee78636620946"/>
    <w:p>
      <w:pPr>
        <w:pStyle w:val="Heading2"/>
      </w:pPr>
      <w:r>
        <w:t xml:space="preserve">4. 도면별 상세 사양</w:t>
      </w:r>
    </w:p>
    <w:bookmarkStart w:id="23" w:name="도-1-4계층-시스템-아키텍처"/>
    <w:p>
      <w:pPr>
        <w:pStyle w:val="Heading3"/>
      </w:pPr>
      <w:r>
        <w:t xml:space="preserve">【도 1】 4계층 시스템 아키텍처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구성요소</w:t>
      </w:r>
      <w:r>
        <w:t xml:space="preserve">: Layer 1 (100) ↔ Layer 2 (200) ↔ Layer 3 (300) ↔ Layer 4 (400)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연결선 표기</w:t>
      </w:r>
      <w:r>
        <w:t xml:space="preserve">: 10Hz/1Hz 주기 및 데이터 흐름 방향 명시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기본 원본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docs/images/architecture.svg</w:t>
      </w:r>
    </w:p>
    <w:bookmarkEnd w:id="23"/>
    <w:bookmarkStart w:id="24" w:name="도-2-동적-지오펜싱-절차-흐름도"/>
    <w:p>
      <w:pPr>
        <w:pStyle w:val="Heading3"/>
      </w:pPr>
      <w:r>
        <w:t xml:space="preserve">【도 2】 동적 지오펜싱 절차 흐름도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단계</w:t>
      </w:r>
      <w:r>
        <w:t xml:space="preserve">: S210 이벤트 감시 → S220 펜스 형상·크기 결정 → S230 저장소 기록(TTL) → S240 APF 반발 소스 주입 → S250 TTL 만료 자동 제거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기본 원본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docs/images/algorithm_flow.svg</w:t>
      </w:r>
      <w:r>
        <w:t xml:space="preserve"> </w:t>
      </w:r>
      <w:r>
        <w:t xml:space="preserve">(단계명 교체 필요)</w:t>
      </w:r>
    </w:p>
    <w:bookmarkEnd w:id="24"/>
    <w:bookmarkStart w:id="25" w:name="도-3-분산-cdr-시퀀스-신규"/>
    <w:p>
      <w:pPr>
        <w:pStyle w:val="Heading3"/>
      </w:pPr>
      <w:r>
        <w:t xml:space="preserve">【도 3】 분산 CD&amp;R 시퀀스 (신규)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액터</w:t>
      </w:r>
      <w:r>
        <w:t xml:space="preserve">: 공역 제어기(200), 드론 A(100-A), 드론 B(100-B), 드론 C(100-C)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시퀀스</w:t>
      </w:r>
      <w:r>
        <w:t xml:space="preserve">: 펜스 생성 → 브로드캐스트 → 각 드론 독립 재계산 → 로컬 캐시 업데이트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작성 도구</w:t>
      </w:r>
      <w:r>
        <w:t xml:space="preserve">: Mermaid sequenceDiagram 권장</w:t>
      </w:r>
    </w:p>
    <w:bookmarkEnd w:id="25"/>
    <w:bookmarkStart w:id="26" w:name="도-4-apf-벡터-합성-및-강풍-모드"/>
    <w:p>
      <w:pPr>
        <w:pStyle w:val="Heading3"/>
      </w:pPr>
      <w:r>
        <w:t xml:space="preserve">【도 4】 APF 벡터 합성 및 강풍 모드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좌측 서브뷰</w:t>
      </w:r>
      <w:r>
        <w:t xml:space="preserve">: 기본 모드 벡터 합성 (F_attr + ΣF_rep)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우측 서브뷰</w:t>
      </w:r>
      <w:r>
        <w:t xml:space="preserve">: 강풍 모드 (k_rep 상향, k_att 하향)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전환 조건</w:t>
      </w:r>
      <w:r>
        <w:t xml:space="preserve">: 풍속 센서 입력 &gt; 10 m/s</w:t>
      </w:r>
    </w:p>
    <w:bookmarkEnd w:id="26"/>
    <w:bookmarkStart w:id="27" w:name="도-5-webgpu-compute-파이프라인"/>
    <w:p>
      <w:pPr>
        <w:pStyle w:val="Heading3"/>
      </w:pPr>
      <w:r>
        <w:t xml:space="preserve">【도 5】 WebGPU Compute 파이프라인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단계</w:t>
      </w:r>
      <w:r>
        <w:t xml:space="preserve">: CPU 위치 버퍼 → GPU 업로드(510) → Workgroup 디스패치(520) → APF 병렬 계산 → 결과 다운로드 → 제어 명령 변환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강조점</w:t>
      </w:r>
      <w:r>
        <w:t xml:space="preserve">: Coalesced memory access, O(N²) → O(log N)급 성능</w:t>
      </w:r>
    </w:p>
    <w:bookmarkEnd w:id="27"/>
    <w:bookmarkStart w:id="28" w:name="도-6-monte-carlo-통계-분포"/>
    <w:p>
      <w:pPr>
        <w:pStyle w:val="Heading3"/>
      </w:pPr>
      <w:r>
        <w:t xml:space="preserve">【도 6】 Monte Carlo 통계 분포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축</w:t>
      </w:r>
      <w:r>
        <w:t xml:space="preserve">: X = 충돌 해결률(%), Y = 누적 확률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데이터</w:t>
      </w:r>
      <w:r>
        <w:t xml:space="preserve">: 38,400회 스윕 결과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참고 원본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docs/images/conflict_resolution_heatmap.png</w:t>
      </w:r>
      <w:r>
        <w:t xml:space="preserve"> </w:t>
      </w:r>
      <w:r>
        <w:t xml:space="preserve">(CDF로 재가공 권장)</w:t>
      </w:r>
    </w:p>
    <w:bookmarkEnd w:id="28"/>
    <w:bookmarkStart w:id="29" w:name="도-7-7개-광역시-kpi-레이더-차트"/>
    <w:p>
      <w:pPr>
        <w:pStyle w:val="Heading3"/>
      </w:pPr>
      <w:r>
        <w:t xml:space="preserve">【도 7】 7개 광역시 KPI 레이더 차트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축</w:t>
      </w:r>
      <w:r>
        <w:t xml:space="preserve">: 충돌해결률, 평균응답시간, 처리량, 전력소모, 강풍안정성 등 5~7축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도시</w:t>
      </w:r>
      <w:r>
        <w:t xml:space="preserve">: 서울·부산·대구·인천·광주·대전·울산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기본 원본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docs/images/scenario_kpi_radar.png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c8bbddbee99dbaba109107ea855fcb7b5e9bc7c"/>
    <w:p>
      <w:pPr>
        <w:pStyle w:val="Heading2"/>
      </w:pPr>
      <w:r>
        <w:t xml:space="preserve">5. 체크리스트 (출원 전)</w:t>
      </w:r>
    </w:p>
    <w:p>
      <w:pPr>
        <w:numPr>
          <w:ilvl w:val="0"/>
          <w:numId w:val="1009"/>
        </w:numPr>
        <w:pStyle w:val="Compact"/>
      </w:pPr>
      <w:r>
        <w:t xml:space="preserve">☐ 모든 도면을</w:t>
      </w:r>
      <w:r>
        <w:t xml:space="preserve"> </w:t>
      </w:r>
      <w:r>
        <w:rPr>
          <w:bCs/>
          <w:b/>
        </w:rPr>
        <w:t xml:space="preserve">흑백 선화</w:t>
      </w:r>
      <w:r>
        <w:t xml:space="preserve">로 변환</w:t>
      </w:r>
    </w:p>
    <w:p>
      <w:pPr>
        <w:numPr>
          <w:ilvl w:val="0"/>
          <w:numId w:val="1009"/>
        </w:numPr>
        <w:pStyle w:val="Compact"/>
      </w:pPr>
      <w:r>
        <w:t xml:space="preserve">☐ 모든 구성요소에</w:t>
      </w:r>
      <w:r>
        <w:t xml:space="preserve"> </w:t>
      </w:r>
      <w:r>
        <w:rPr>
          <w:bCs/>
          <w:b/>
        </w:rPr>
        <w:t xml:space="preserve">참조부호</w:t>
      </w:r>
      <w:r>
        <w:t xml:space="preserve"> </w:t>
      </w:r>
      <w:r>
        <w:t xml:space="preserve">부여 및 명세서 본문과 1:1 대응 확인</w:t>
      </w:r>
    </w:p>
    <w:p>
      <w:pPr>
        <w:numPr>
          <w:ilvl w:val="0"/>
          <w:numId w:val="1009"/>
        </w:numPr>
        <w:pStyle w:val="Compact"/>
      </w:pPr>
      <w:r>
        <w:t xml:space="preserve">☐ 각 도면</w:t>
      </w:r>
      <w:r>
        <w:t xml:space="preserve"> </w:t>
      </w:r>
      <w:r>
        <w:rPr>
          <w:bCs/>
          <w:b/>
        </w:rPr>
        <w:t xml:space="preserve">A4 단면</w:t>
      </w:r>
      <w:r>
        <w:t xml:space="preserve"> </w:t>
      </w:r>
      <w:r>
        <w:t xml:space="preserve">배치 및 여백 확보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도 3</w:t>
      </w:r>
      <w:r>
        <w:t xml:space="preserve"> </w:t>
      </w:r>
      <w:r>
        <w:t xml:space="preserve">신규 작성 (PlantUML/Mermaid)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도 6</w:t>
      </w:r>
      <w:r>
        <w:t xml:space="preserve"> </w:t>
      </w:r>
      <w:r>
        <w:t xml:space="preserve">히트맵 → CDF 재가공</w:t>
      </w:r>
    </w:p>
    <w:p>
      <w:pPr>
        <w:numPr>
          <w:ilvl w:val="0"/>
          <w:numId w:val="1009"/>
        </w:numPr>
        <w:pStyle w:val="Compact"/>
      </w:pPr>
      <w:r>
        <w:t xml:space="preserve">☐ 도면 7매 통합 PDF (</w:t>
      </w:r>
      <w:r>
        <w:rPr>
          <w:rStyle w:val="VerbatimChar"/>
        </w:rPr>
        <w:t xml:space="preserve">SDACS_patent_drawings.pdf</w:t>
      </w:r>
      <w:r>
        <w:t xml:space="preserve">) 생성</w:t>
      </w:r>
    </w:p>
    <w:p>
      <w:pPr>
        <w:numPr>
          <w:ilvl w:val="0"/>
          <w:numId w:val="1009"/>
        </w:numPr>
        <w:pStyle w:val="Compact"/>
      </w:pPr>
      <w:r>
        <w:t xml:space="preserve">☐ KIPO 전자출원 포맷(SVG/PDF/TIFF 300dpi) 검증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【참조】</w:t>
      </w:r>
      <w:r>
        <w:t xml:space="preserve"> </w:t>
      </w:r>
      <w:r>
        <w:rPr>
          <w:rStyle w:val="VerbatimChar"/>
        </w:rPr>
        <w:t xml:space="preserve">docs/patent/SDACS_특허명세서.md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docs/images/*.svg</w:t>
      </w:r>
      <w:r>
        <w:t xml:space="preserve"> </w:t>
      </w:r>
      <w:r>
        <w:rPr>
          <w:bCs/>
          <w:b/>
        </w:rPr>
        <w:t xml:space="preserve">【작성일】</w:t>
      </w:r>
      <w:r>
        <w:t xml:space="preserve"> </w:t>
      </w:r>
      <w:r>
        <w:t xml:space="preserve">2026-04-20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2026-04-20T05:12:18Z</dcterms:created>
  <dcterms:modified xsi:type="dcterms:W3CDTF">2026-04-20T05:12:18Z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