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28"/>
        </w:rPr>
        <w:t>[ 요약서 · 대표도면 설명 ]</w:t>
      </w:r>
    </w:p>
    <w:p>
      <w:r>
        <w:rPr>
          <w:b w:val="0"/>
          <w:sz w:val="22"/>
        </w:rPr>
      </w:r>
    </w:p>
    <w:p>
      <w:pPr>
        <w:jc w:val="center"/>
      </w:pPr>
      <w:r>
        <w:rPr>
          <w:b/>
          <w:color w:val="1F3A6B"/>
          <w:sz w:val="40"/>
        </w:rPr>
        <w:t>Abstract &amp; Representative Figure</w:t>
      </w:r>
    </w:p>
    <w:p>
      <w:r>
        <w:rPr>
          <w:b w:val="0"/>
          <w:sz w:val="22"/>
        </w:rPr>
      </w:r>
    </w:p>
    <w:p>
      <w:pPr>
        <w:jc w:val="center"/>
      </w:pPr>
      <w:r>
        <w:rPr>
          <w:b w:val="0"/>
          <w:sz w:val="24"/>
        </w:rPr>
        <w:t>SDACS — Swarm Drone Airspace Control System</w:t>
      </w:r>
    </w:p>
    <w:p>
      <w:r>
        <w:rPr>
          <w:b w:val="0"/>
          <w:sz w:val="22"/>
        </w:rPr>
      </w:r>
    </w:p>
    <w:p>
      <w:r>
        <w:rPr>
          <w:b w:val="0"/>
          <w:sz w:val="22"/>
        </w:rPr>
      </w:r>
    </w:p>
    <w:tbl>
      <w:tblPr>
        <w:tblStyle w:val="LightGrid-Accent1"/>
        <w:tblW w:type="auto" w:w="0"/>
        <w:tblLook w:firstColumn="1" w:firstRow="1" w:lastColumn="0" w:lastRow="0" w:noHBand="0" w:noVBand="1" w:val="04A0"/>
      </w:tblPr>
      <w:tblGrid>
        <w:gridCol w:w="4816"/>
        <w:gridCol w:w="4816"/>
      </w:tblGrid>
      <w:tr>
        <w:tc>
          <w:tcPr>
            <w:tcW w:type="dxa" w:w="4816"/>
          </w:tcPr>
          <w:p>
            <w:r/>
            <w:r>
              <w:rPr>
                <w:b/>
                <w:sz w:val="20"/>
              </w:rPr>
              <w:t>항목</w:t>
            </w:r>
          </w:p>
        </w:tc>
        <w:tc>
          <w:tcPr>
            <w:tcW w:type="dxa" w:w="4816"/>
          </w:tcPr>
          <w:p>
            <w:r/>
            <w:r>
              <w:rPr>
                <w:b/>
                <w:sz w:val="20"/>
              </w:rPr>
              <w:t>내용</w:t>
            </w:r>
          </w:p>
        </w:tc>
      </w:tr>
      <w:tr>
        <w:tc>
          <w:tcPr>
            <w:tcW w:type="dxa" w:w="4816"/>
          </w:tcPr>
          <w:p>
            <w:r/>
            <w:r>
              <w:rPr>
                <w:sz w:val="20"/>
              </w:rPr>
              <w:t>문서 목적</w:t>
            </w:r>
          </w:p>
        </w:tc>
        <w:tc>
          <w:tcPr>
            <w:tcW w:type="dxa" w:w="4816"/>
          </w:tcPr>
          <w:p>
            <w:r/>
            <w:r>
              <w:rPr>
                <w:sz w:val="20"/>
              </w:rPr>
              <w:t>출원 명세서 요약서(Abstract) 및 대표도면(Representative Figure) 사전 정리</w:t>
            </w:r>
          </w:p>
        </w:tc>
      </w:tr>
      <w:tr>
        <w:tc>
          <w:tcPr>
            <w:tcW w:type="dxa" w:w="4816"/>
          </w:tcPr>
          <w:p>
            <w:r/>
            <w:r>
              <w:rPr>
                <w:sz w:val="20"/>
              </w:rPr>
              <w:t>발명자</w:t>
            </w:r>
          </w:p>
        </w:tc>
        <w:tc>
          <w:tcPr>
            <w:tcW w:type="dxa" w:w="4816"/>
          </w:tcPr>
          <w:p>
            <w:r/>
            <w:r>
              <w:rPr>
                <w:sz w:val="20"/>
              </w:rPr>
              <w:t>장선우 (sun475300@naver.com / 010-9058-3745)</w:t>
            </w:r>
          </w:p>
        </w:tc>
      </w:tr>
      <w:tr>
        <w:tc>
          <w:tcPr>
            <w:tcW w:type="dxa" w:w="4816"/>
          </w:tcPr>
          <w:p>
            <w:r/>
            <w:r>
              <w:rPr>
                <w:sz w:val="20"/>
              </w:rPr>
              <w:t>버전</w:t>
            </w:r>
          </w:p>
        </w:tc>
        <w:tc>
          <w:tcPr>
            <w:tcW w:type="dxa" w:w="4816"/>
          </w:tcPr>
          <w:p>
            <w:r/>
            <w:r>
              <w:rPr>
                <w:sz w:val="20"/>
              </w:rPr>
              <w:t>v1.0 (2026-04-21)</w:t>
            </w:r>
          </w:p>
        </w:tc>
      </w:tr>
      <w:tr>
        <w:tc>
          <w:tcPr>
            <w:tcW w:type="dxa" w:w="4816"/>
          </w:tcPr>
          <w:p>
            <w:r/>
            <w:r>
              <w:rPr>
                <w:sz w:val="20"/>
              </w:rPr>
              <w:t>대표도면</w:t>
            </w:r>
          </w:p>
        </w:tc>
        <w:tc>
          <w:tcPr>
            <w:tcW w:type="dxa" w:w="4816"/>
          </w:tcPr>
          <w:p>
            <w:r/>
            <w:r>
              <w:rPr>
                <w:sz w:val="20"/>
              </w:rPr>
              <w:t>Fig. 1 — SDACS 4계층 시스템 아키텍처 개념도</w:t>
            </w:r>
          </w:p>
        </w:tc>
      </w:tr>
      <w:tr>
        <w:tc>
          <w:tcPr>
            <w:tcW w:type="dxa" w:w="4816"/>
          </w:tcPr>
          <w:p>
            <w:r/>
            <w:r>
              <w:rPr>
                <w:sz w:val="20"/>
              </w:rPr>
              <w:t>요약서 권장 길이</w:t>
            </w:r>
          </w:p>
        </w:tc>
        <w:tc>
          <w:tcPr>
            <w:tcW w:type="dxa" w:w="4816"/>
          </w:tcPr>
          <w:p>
            <w:r/>
            <w:r>
              <w:rPr>
                <w:sz w:val="20"/>
              </w:rPr>
              <w:t>국문 700자 이내 / 영문 150단어 이내 (KIPO·USPTO 권장)</w:t>
            </w:r>
          </w:p>
        </w:tc>
      </w:tr>
    </w:tbl>
    <w:p>
      <w:r>
        <w:br w:type="page"/>
      </w:r>
    </w:p>
    <w:p>
      <w:r>
        <w:rPr>
          <w:b/>
          <w:color w:val="1F3A6B"/>
          <w:sz w:val="28"/>
        </w:rPr>
        <w:t>1. 국문 요약서 (Abstract, Korean)</w:t>
      </w:r>
    </w:p>
    <w:p>
      <w:r>
        <w:rPr>
          <w:b w:val="0"/>
          <w:color w:val="6B7280"/>
          <w:sz w:val="20"/>
        </w:rPr>
        <w:t>(다음 본문은 KIPO 출원서 「요약서」란에 그대로 복사하여 사용할 수 있도록 700자 이내로 작성.)</w:t>
      </w:r>
    </w:p>
    <w:p>
      <w:r>
        <w:rPr>
          <w:b w:val="0"/>
          <w:sz w:val="22"/>
        </w:rPr>
      </w:r>
    </w:p>
    <w:p>
      <w:r>
        <w:rPr>
          <w:b w:val="0"/>
          <w:sz w:val="22"/>
        </w:rPr>
        <w:t>본 발명은 군집 드론의 공역 통제 자동화 기술에 관한 것으로, 실시간 이벤트에 따라 3차원 원통·구체·프리즘 형상의 가상 위험 펜스를 공역 좌표에 동적으로 생성하는 동적 지오펜싱 모듈과, 각 드론이 목표 지점에 대한 인력과 주변 장애물·타 드론·상기 가상 위험 펜스에 대한 반발력의 벡터 합으로 속도 벡터를 산출하는 APF 경로 계획 모듈과, 상기 펜스 생성 이벤트를 주변 드론에 브로드캐스트하여 각 드론이 중앙 관제의 개입 없이 자율적으로 경로를 재산출하도록 하는 분산 충돌 탐지·회피 모듈과, 상기 연산을 GPU 연산 셰이더로 병렬 수행하는 병렬 가속 모듈을 포함한다. 풍속이 임계치를 초과하면 APF 파라미터를 강풍 모드로 자동 전환하여 강건성을 확보하며, 통신 단절 상황에서는 각 드론이 로컬 캐시 기반으로 기본 회피를 유지한다. 본 발명에 의하면 중앙 관제의 단일 실패점을 원천적으로 제거하고, 수백~수천 대의 군집에 대하여 1Hz 이상의 실시간 제어 주기를 보장하며, 97.8%의 충돌 해결률을 달성한다.</w:t>
      </w:r>
    </w:p>
    <w:p>
      <w:r>
        <w:rPr>
          <w:b w:val="0"/>
          <w:sz w:val="22"/>
        </w:rPr>
      </w:r>
    </w:p>
    <w:p>
      <w:r>
        <w:rPr>
          <w:b w:val="0"/>
          <w:color w:val="6B7280"/>
          <w:sz w:val="18"/>
        </w:rPr>
        <w:t>[총 글자수: 약 512자]</w:t>
      </w:r>
    </w:p>
    <w:p>
      <w:r>
        <w:br w:type="page"/>
      </w:r>
    </w:p>
    <w:p>
      <w:r>
        <w:rPr>
          <w:b/>
          <w:color w:val="1F3A6B"/>
          <w:sz w:val="28"/>
        </w:rPr>
        <w:t>2. English Abstract (for PCT / USPTO)</w:t>
      </w:r>
    </w:p>
    <w:p>
      <w:r>
        <w:rPr>
          <w:b w:val="0"/>
          <w:color w:val="6B7280"/>
          <w:sz w:val="20"/>
        </w:rPr>
        <w:t>(Draft — to be refined by IP counsel; aim for 150 words or less.)</w:t>
      </w:r>
    </w:p>
    <w:p>
      <w:r>
        <w:rPr>
          <w:b w:val="0"/>
          <w:sz w:val="22"/>
        </w:rPr>
      </w:r>
    </w:p>
    <w:p>
      <w:r>
        <w:rPr>
          <w:b w:val="0"/>
          <w:sz w:val="22"/>
        </w:rPr>
        <w:t>A swarm drone airspace control automation system and method are disclosed. The system comprises a dynamic geofencing module that generates three-dimensional virtual risk fences (cylinder, sphere, or prism) in real time upon detection of events; an artificial potential field (APF) path planning module that computes velocity vectors from attractive force to goal and repulsive forces from obstacles, neighboring drones, and the virtual fences; a distributed conflict detection and resolution module that broadcasts fence events and causes each drone to autonomously recompute its path without central-controller intervention; and a GPU compute-shader parallel acceleration module. A wind-adaptive parameter switching module elevates repulsive gain when wind speed exceeds a threshold, while local-cache fallback maintains safe avoidance during communication loss. The invention eliminates the single point of failure of centralized control and maintains 1 Hz real-time control cycles for hundreds to thousands of drones.</w:t>
      </w:r>
    </w:p>
    <w:p>
      <w:r>
        <w:br w:type="page"/>
      </w:r>
    </w:p>
    <w:p>
      <w:r>
        <w:rPr>
          <w:b/>
          <w:color w:val="1F3A6B"/>
          <w:sz w:val="28"/>
        </w:rPr>
        <w:t>3. 대표도면 (Representative Figure) — Fig. 1</w:t>
      </w:r>
    </w:p>
    <w:p>
      <w:r>
        <w:rPr>
          <w:b w:val="0"/>
          <w:color w:val="6B7280"/>
          <w:sz w:val="20"/>
        </w:rPr>
        <w:t>대표도 선정 기준: 본 발명의 핵심 특징(4계층 · 분산 자율 · 동적 펜스 · GPU 병렬)을 한 장에서 파악할 수 있어야 한다.</w:t>
      </w:r>
    </w:p>
    <w:p>
      <w:r>
        <w:rPr>
          <w:b w:val="0"/>
          <w:sz w:val="22"/>
        </w:rPr>
      </w:r>
    </w:p>
    <w:p>
      <w:r>
        <w:rPr>
          <w:b/>
          <w:color w:val="1F3A6B"/>
          <w:sz w:val="24"/>
        </w:rPr>
        <w:t>3.1 도면 명칭</w:t>
      </w:r>
    </w:p>
    <w:p>
      <w:r>
        <w:rPr>
          <w:b/>
          <w:sz w:val="22"/>
        </w:rPr>
        <w:t>Fig. 1 — SDACS 4계층 시스템 아키텍처 개념도 (Four-Layer System Architecture of SDACS)</w:t>
      </w:r>
    </w:p>
    <w:p>
      <w:r>
        <w:rPr>
          <w:b/>
          <w:color w:val="1F3A6B"/>
          <w:sz w:val="24"/>
        </w:rPr>
        <w:t>3.2 도면 설명 문구 (명세서 용)</w:t>
      </w:r>
    </w:p>
    <w:p>
      <w:r>
        <w:rPr>
          <w:b w:val="0"/>
          <w:sz w:val="22"/>
        </w:rPr>
        <w:t>도 1은 본 발명에 따른 군집 드론 공역 통제 자동화 시스템의 전체 아키텍처를 나타내는 개념도이다. 상기 시스템은 (i) 개별 드론의 상태를 10Hz 주기로 갱신하는 드론 에이전트 계층(Layer 1), (ii) 상기 드론 에이전트 계층으로부터 상태 정보를 수신하여 1Hz 주기로 동적 지오펜싱·APF 경로 계획·분산 CD&amp;R 연산을 통합 실행하는 공역 제어기 계층(Layer 2), (iii) 시나리오·기상·Monte Carlo 검증을 제공하는 시뮬레이션 계층(Layer 3), (iv) 사용자 명령 수신 및 3D 시각화를 제공하는 운영 인터페이스 계층(Layer 4)을 포함한다. 각 계층 사이에는 명시적 인터페이스와 독립적 실행 주기가 정의되어 있어 모듈화 및 확장이 용이하다.</w:t>
      </w:r>
    </w:p>
    <w:p>
      <w:r>
        <w:rPr>
          <w:b/>
          <w:color w:val="1F3A6B"/>
          <w:sz w:val="24"/>
        </w:rPr>
        <w:t>3.3 도면 구성 요소 부호 표</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tcPr>
          <w:p>
            <w:r/>
            <w:r>
              <w:rPr>
                <w:b/>
                <w:sz w:val="20"/>
              </w:rPr>
              <w:t>부호</w:t>
            </w:r>
          </w:p>
        </w:tc>
        <w:tc>
          <w:tcPr>
            <w:tcW w:type="dxa" w:w="2408"/>
          </w:tcPr>
          <w:p>
            <w:r/>
            <w:r>
              <w:rPr>
                <w:b/>
                <w:sz w:val="20"/>
              </w:rPr>
              <w:t>요소명</w:t>
            </w:r>
          </w:p>
        </w:tc>
        <w:tc>
          <w:tcPr>
            <w:tcW w:type="dxa" w:w="2408"/>
          </w:tcPr>
          <w:p>
            <w:r/>
            <w:r>
              <w:rPr>
                <w:b/>
                <w:sz w:val="20"/>
              </w:rPr>
              <w:t>주기</w:t>
            </w:r>
          </w:p>
        </w:tc>
        <w:tc>
          <w:tcPr>
            <w:tcW w:type="dxa" w:w="2408"/>
          </w:tcPr>
          <w:p>
            <w:r/>
            <w:r>
              <w:rPr>
                <w:b/>
                <w:sz w:val="20"/>
              </w:rPr>
              <w:t>기능</w:t>
            </w:r>
          </w:p>
        </w:tc>
      </w:tr>
      <w:tr>
        <w:tc>
          <w:tcPr>
            <w:tcW w:type="dxa" w:w="2408"/>
          </w:tcPr>
          <w:p>
            <w:r/>
            <w:r>
              <w:rPr>
                <w:sz w:val="20"/>
              </w:rPr>
              <w:t>100</w:t>
            </w:r>
          </w:p>
        </w:tc>
        <w:tc>
          <w:tcPr>
            <w:tcW w:type="dxa" w:w="2408"/>
          </w:tcPr>
          <w:p>
            <w:r/>
            <w:r>
              <w:rPr>
                <w:sz w:val="20"/>
              </w:rPr>
              <w:t>Layer 1 드론 에이전트 그룹</w:t>
            </w:r>
          </w:p>
        </w:tc>
        <w:tc>
          <w:tcPr>
            <w:tcW w:type="dxa" w:w="2408"/>
          </w:tcPr>
          <w:p>
            <w:r/>
            <w:r>
              <w:rPr>
                <w:sz w:val="20"/>
              </w:rPr>
              <w:t>10 Hz</w:t>
            </w:r>
          </w:p>
        </w:tc>
        <w:tc>
          <w:tcPr>
            <w:tcW w:type="dxa" w:w="2408"/>
          </w:tcPr>
          <w:p>
            <w:r/>
            <w:r>
              <w:rPr>
                <w:sz w:val="20"/>
              </w:rPr>
              <w:t>개별 드론 상태 갱신·보고</w:t>
            </w:r>
          </w:p>
        </w:tc>
      </w:tr>
      <w:tr>
        <w:tc>
          <w:tcPr>
            <w:tcW w:type="dxa" w:w="2408"/>
          </w:tcPr>
          <w:p>
            <w:r/>
            <w:r>
              <w:rPr>
                <w:sz w:val="20"/>
              </w:rPr>
              <w:t>110</w:t>
            </w:r>
          </w:p>
        </w:tc>
        <w:tc>
          <w:tcPr>
            <w:tcW w:type="dxa" w:w="2408"/>
          </w:tcPr>
          <w:p>
            <w:r/>
            <w:r>
              <w:rPr>
                <w:sz w:val="20"/>
              </w:rPr>
              <w:t>_DroneAgent (SimPy)</w:t>
            </w:r>
          </w:p>
        </w:tc>
        <w:tc>
          <w:tcPr>
            <w:tcW w:type="dxa" w:w="2408"/>
          </w:tcPr>
          <w:p>
            <w:r/>
            <w:r>
              <w:rPr>
                <w:sz w:val="20"/>
              </w:rPr>
              <w:t>10 Hz</w:t>
            </w:r>
          </w:p>
        </w:tc>
        <w:tc>
          <w:tcPr>
            <w:tcW w:type="dxa" w:w="2408"/>
          </w:tcPr>
          <w:p>
            <w:r/>
            <w:r>
              <w:rPr>
                <w:sz w:val="20"/>
              </w:rPr>
              <w:t>비행 제어·센서 fusion</w:t>
            </w:r>
          </w:p>
        </w:tc>
      </w:tr>
      <w:tr>
        <w:tc>
          <w:tcPr>
            <w:tcW w:type="dxa" w:w="2408"/>
          </w:tcPr>
          <w:p>
            <w:r/>
            <w:r>
              <w:rPr>
                <w:sz w:val="20"/>
              </w:rPr>
              <w:t>120</w:t>
            </w:r>
          </w:p>
        </w:tc>
        <w:tc>
          <w:tcPr>
            <w:tcW w:type="dxa" w:w="2408"/>
          </w:tcPr>
          <w:p>
            <w:r/>
            <w:r>
              <w:rPr>
                <w:sz w:val="20"/>
              </w:rPr>
              <w:t>로컬 공역 캐시</w:t>
            </w:r>
          </w:p>
        </w:tc>
        <w:tc>
          <w:tcPr>
            <w:tcW w:type="dxa" w:w="2408"/>
          </w:tcPr>
          <w:p>
            <w:r/>
            <w:r>
              <w:rPr>
                <w:sz w:val="20"/>
              </w:rPr>
              <w:t>상시</w:t>
            </w:r>
          </w:p>
        </w:tc>
        <w:tc>
          <w:tcPr>
            <w:tcW w:type="dxa" w:w="2408"/>
          </w:tcPr>
          <w:p>
            <w:r/>
            <w:r>
              <w:rPr>
                <w:sz w:val="20"/>
              </w:rPr>
              <w:t>통신 단절 폴백용</w:t>
            </w:r>
          </w:p>
        </w:tc>
      </w:tr>
      <w:tr>
        <w:tc>
          <w:tcPr>
            <w:tcW w:type="dxa" w:w="2408"/>
          </w:tcPr>
          <w:p>
            <w:r/>
            <w:r>
              <w:rPr>
                <w:sz w:val="20"/>
              </w:rPr>
              <w:t>200</w:t>
            </w:r>
          </w:p>
        </w:tc>
        <w:tc>
          <w:tcPr>
            <w:tcW w:type="dxa" w:w="2408"/>
          </w:tcPr>
          <w:p>
            <w:r/>
            <w:r>
              <w:rPr>
                <w:sz w:val="20"/>
              </w:rPr>
              <w:t>Layer 2 공역 제어기</w:t>
            </w:r>
          </w:p>
        </w:tc>
        <w:tc>
          <w:tcPr>
            <w:tcW w:type="dxa" w:w="2408"/>
          </w:tcPr>
          <w:p>
            <w:r/>
            <w:r>
              <w:rPr>
                <w:sz w:val="20"/>
              </w:rPr>
              <w:t>1 Hz</w:t>
            </w:r>
          </w:p>
        </w:tc>
        <w:tc>
          <w:tcPr>
            <w:tcW w:type="dxa" w:w="2408"/>
          </w:tcPr>
          <w:p>
            <w:r/>
            <w:r>
              <w:rPr>
                <w:sz w:val="20"/>
              </w:rPr>
              <w:t>전체 통합 실행</w:t>
            </w:r>
          </w:p>
        </w:tc>
      </w:tr>
      <w:tr>
        <w:tc>
          <w:tcPr>
            <w:tcW w:type="dxa" w:w="2408"/>
          </w:tcPr>
          <w:p>
            <w:r/>
            <w:r>
              <w:rPr>
                <w:sz w:val="20"/>
              </w:rPr>
              <w:t>210</w:t>
            </w:r>
          </w:p>
        </w:tc>
        <w:tc>
          <w:tcPr>
            <w:tcW w:type="dxa" w:w="2408"/>
          </w:tcPr>
          <w:p>
            <w:r/>
            <w:r>
              <w:rPr>
                <w:sz w:val="20"/>
              </w:rPr>
              <w:t>동적 지오펜싱 모듈</w:t>
            </w:r>
          </w:p>
        </w:tc>
        <w:tc>
          <w:tcPr>
            <w:tcW w:type="dxa" w:w="2408"/>
          </w:tcPr>
          <w:p>
            <w:r/>
            <w:r>
              <w:rPr>
                <w:sz w:val="20"/>
              </w:rPr>
              <w:t>이벤트</w:t>
            </w:r>
          </w:p>
        </w:tc>
        <w:tc>
          <w:tcPr>
            <w:tcW w:type="dxa" w:w="2408"/>
          </w:tcPr>
          <w:p>
            <w:r/>
            <w:r>
              <w:rPr>
                <w:sz w:val="20"/>
              </w:rPr>
              <w:t>가상 위험 펜스 생성/삭제</w:t>
            </w:r>
          </w:p>
        </w:tc>
      </w:tr>
      <w:tr>
        <w:tc>
          <w:tcPr>
            <w:tcW w:type="dxa" w:w="2408"/>
          </w:tcPr>
          <w:p>
            <w:r/>
            <w:r>
              <w:rPr>
                <w:sz w:val="20"/>
              </w:rPr>
              <w:t>220</w:t>
            </w:r>
          </w:p>
        </w:tc>
        <w:tc>
          <w:tcPr>
            <w:tcW w:type="dxa" w:w="2408"/>
          </w:tcPr>
          <w:p>
            <w:r/>
            <w:r>
              <w:rPr>
                <w:sz w:val="20"/>
              </w:rPr>
              <w:t>APF 경로 계획 모듈</w:t>
            </w:r>
          </w:p>
        </w:tc>
        <w:tc>
          <w:tcPr>
            <w:tcW w:type="dxa" w:w="2408"/>
          </w:tcPr>
          <w:p>
            <w:r/>
            <w:r>
              <w:rPr>
                <w:sz w:val="20"/>
              </w:rPr>
              <w:t>1 Hz</w:t>
            </w:r>
          </w:p>
        </w:tc>
        <w:tc>
          <w:tcPr>
            <w:tcW w:type="dxa" w:w="2408"/>
          </w:tcPr>
          <w:p>
            <w:r/>
            <w:r>
              <w:rPr>
                <w:sz w:val="20"/>
              </w:rPr>
              <w:t>힘 벡터 합산 → 속도 산출</w:t>
            </w:r>
          </w:p>
        </w:tc>
      </w:tr>
      <w:tr>
        <w:tc>
          <w:tcPr>
            <w:tcW w:type="dxa" w:w="2408"/>
          </w:tcPr>
          <w:p>
            <w:r/>
            <w:r>
              <w:rPr>
                <w:sz w:val="20"/>
              </w:rPr>
              <w:t>230</w:t>
            </w:r>
          </w:p>
        </w:tc>
        <w:tc>
          <w:tcPr>
            <w:tcW w:type="dxa" w:w="2408"/>
          </w:tcPr>
          <w:p>
            <w:r/>
            <w:r>
              <w:rPr>
                <w:sz w:val="20"/>
              </w:rPr>
              <w:t>분산 CD&amp;R 모듈</w:t>
            </w:r>
          </w:p>
        </w:tc>
        <w:tc>
          <w:tcPr>
            <w:tcW w:type="dxa" w:w="2408"/>
          </w:tcPr>
          <w:p>
            <w:r/>
            <w:r>
              <w:rPr>
                <w:sz w:val="20"/>
              </w:rPr>
              <w:t>이벤트</w:t>
            </w:r>
          </w:p>
        </w:tc>
        <w:tc>
          <w:tcPr>
            <w:tcW w:type="dxa" w:w="2408"/>
          </w:tcPr>
          <w:p>
            <w:r/>
            <w:r>
              <w:rPr>
                <w:sz w:val="20"/>
              </w:rPr>
              <w:t>브로드캐스트 · 재계산 지시</w:t>
            </w:r>
          </w:p>
        </w:tc>
      </w:tr>
      <w:tr>
        <w:tc>
          <w:tcPr>
            <w:tcW w:type="dxa" w:w="2408"/>
          </w:tcPr>
          <w:p>
            <w:r/>
            <w:r>
              <w:rPr>
                <w:sz w:val="20"/>
              </w:rPr>
              <w:t>240</w:t>
            </w:r>
          </w:p>
        </w:tc>
        <w:tc>
          <w:tcPr>
            <w:tcW w:type="dxa" w:w="2408"/>
          </w:tcPr>
          <w:p>
            <w:r/>
            <w:r>
              <w:rPr>
                <w:sz w:val="20"/>
              </w:rPr>
              <w:t>WebGPU 병렬 가속 모듈</w:t>
            </w:r>
          </w:p>
        </w:tc>
        <w:tc>
          <w:tcPr>
            <w:tcW w:type="dxa" w:w="2408"/>
          </w:tcPr>
          <w:p>
            <w:r/>
            <w:r>
              <w:rPr>
                <w:sz w:val="20"/>
              </w:rPr>
              <w:t>1 Hz</w:t>
            </w:r>
          </w:p>
        </w:tc>
        <w:tc>
          <w:tcPr>
            <w:tcW w:type="dxa" w:w="2408"/>
          </w:tcPr>
          <w:p>
            <w:r/>
            <w:r>
              <w:rPr>
                <w:sz w:val="20"/>
              </w:rPr>
              <w:t>GPU Compute Shader 실행</w:t>
            </w:r>
          </w:p>
        </w:tc>
      </w:tr>
      <w:tr>
        <w:tc>
          <w:tcPr>
            <w:tcW w:type="dxa" w:w="2408"/>
          </w:tcPr>
          <w:p>
            <w:r/>
            <w:r>
              <w:rPr>
                <w:sz w:val="20"/>
              </w:rPr>
              <w:t>250</w:t>
            </w:r>
          </w:p>
        </w:tc>
        <w:tc>
          <w:tcPr>
            <w:tcW w:type="dxa" w:w="2408"/>
          </w:tcPr>
          <w:p>
            <w:r/>
            <w:r>
              <w:rPr>
                <w:sz w:val="20"/>
              </w:rPr>
              <w:t>기상 적응 전환 모듈</w:t>
            </w:r>
          </w:p>
        </w:tc>
        <w:tc>
          <w:tcPr>
            <w:tcW w:type="dxa" w:w="2408"/>
          </w:tcPr>
          <w:p>
            <w:r/>
            <w:r>
              <w:rPr>
                <w:sz w:val="20"/>
              </w:rPr>
              <w:t>이벤트</w:t>
            </w:r>
          </w:p>
        </w:tc>
        <w:tc>
          <w:tcPr>
            <w:tcW w:type="dxa" w:w="2408"/>
          </w:tcPr>
          <w:p>
            <w:r/>
            <w:r>
              <w:rPr>
                <w:sz w:val="20"/>
              </w:rPr>
              <w:t>APF 파라미터 DEFAULT↔WINDY</w:t>
            </w:r>
          </w:p>
        </w:tc>
      </w:tr>
      <w:tr>
        <w:tc>
          <w:tcPr>
            <w:tcW w:type="dxa" w:w="2408"/>
          </w:tcPr>
          <w:p>
            <w:r/>
            <w:r>
              <w:rPr>
                <w:sz w:val="20"/>
              </w:rPr>
              <w:t>300</w:t>
            </w:r>
          </w:p>
        </w:tc>
        <w:tc>
          <w:tcPr>
            <w:tcW w:type="dxa" w:w="2408"/>
          </w:tcPr>
          <w:p>
            <w:r/>
            <w:r>
              <w:rPr>
                <w:sz w:val="20"/>
              </w:rPr>
              <w:t>Layer 3 시뮬레이션</w:t>
            </w:r>
          </w:p>
        </w:tc>
        <w:tc>
          <w:tcPr>
            <w:tcW w:type="dxa" w:w="2408"/>
          </w:tcPr>
          <w:p>
            <w:r/>
            <w:r>
              <w:rPr>
                <w:sz w:val="20"/>
              </w:rPr>
              <w:t>이벤트</w:t>
            </w:r>
          </w:p>
        </w:tc>
        <w:tc>
          <w:tcPr>
            <w:tcW w:type="dxa" w:w="2408"/>
          </w:tcPr>
          <w:p>
            <w:r/>
            <w:r>
              <w:rPr>
                <w:sz w:val="20"/>
              </w:rPr>
              <w:t>SimPy·WindModel·Monte Carlo</w:t>
            </w:r>
          </w:p>
        </w:tc>
      </w:tr>
      <w:tr>
        <w:tc>
          <w:tcPr>
            <w:tcW w:type="dxa" w:w="2408"/>
          </w:tcPr>
          <w:p>
            <w:r/>
            <w:r>
              <w:rPr>
                <w:sz w:val="20"/>
              </w:rPr>
              <w:t>400</w:t>
            </w:r>
          </w:p>
        </w:tc>
        <w:tc>
          <w:tcPr>
            <w:tcW w:type="dxa" w:w="2408"/>
          </w:tcPr>
          <w:p>
            <w:r/>
            <w:r>
              <w:rPr>
                <w:sz w:val="20"/>
              </w:rPr>
              <w:t>Layer 4 운영 인터페이스</w:t>
            </w:r>
          </w:p>
        </w:tc>
        <w:tc>
          <w:tcPr>
            <w:tcW w:type="dxa" w:w="2408"/>
          </w:tcPr>
          <w:p>
            <w:r/>
            <w:r>
              <w:rPr>
                <w:sz w:val="20"/>
              </w:rPr>
              <w:t>on-demand</w:t>
            </w:r>
          </w:p>
        </w:tc>
        <w:tc>
          <w:tcPr>
            <w:tcW w:type="dxa" w:w="2408"/>
          </w:tcPr>
          <w:p>
            <w:r/>
            <w:r>
              <w:rPr>
                <w:sz w:val="20"/>
              </w:rPr>
              <w:t>Dash 3D UI · CLI</w:t>
            </w:r>
          </w:p>
        </w:tc>
      </w:tr>
      <w:tr>
        <w:tc>
          <w:tcPr>
            <w:tcW w:type="dxa" w:w="2408"/>
          </w:tcPr>
          <w:p>
            <w:r/>
            <w:r>
              <w:rPr>
                <w:sz w:val="20"/>
              </w:rPr>
              <w:t>500</w:t>
            </w:r>
          </w:p>
        </w:tc>
        <w:tc>
          <w:tcPr>
            <w:tcW w:type="dxa" w:w="2408"/>
          </w:tcPr>
          <w:p>
            <w:r/>
            <w:r>
              <w:rPr>
                <w:sz w:val="20"/>
              </w:rPr>
              <w:t>공역 상태 저장소</w:t>
            </w:r>
          </w:p>
        </w:tc>
        <w:tc>
          <w:tcPr>
            <w:tcW w:type="dxa" w:w="2408"/>
          </w:tcPr>
          <w:p>
            <w:r/>
            <w:r>
              <w:rPr>
                <w:sz w:val="20"/>
              </w:rPr>
              <w:t>상시</w:t>
            </w:r>
          </w:p>
        </w:tc>
        <w:tc>
          <w:tcPr>
            <w:tcW w:type="dxa" w:w="2408"/>
          </w:tcPr>
          <w:p>
            <w:r/>
            <w:r>
              <w:rPr>
                <w:sz w:val="20"/>
              </w:rPr>
              <w:t>드론 상태·펜스·이벤트 영속</w:t>
            </w:r>
          </w:p>
        </w:tc>
      </w:tr>
    </w:tbl>
    <w:p>
      <w:r>
        <w:br w:type="page"/>
      </w:r>
    </w:p>
    <w:p>
      <w:r>
        <w:rPr>
          <w:b/>
          <w:color w:val="1F3A6B"/>
          <w:sz w:val="28"/>
        </w:rPr>
        <w:t>4. 보조도면 요지 (Fig. 2 ~ Fig. 5)</w:t>
      </w:r>
    </w:p>
    <w:tbl>
      <w:tblPr>
        <w:tblStyle w:val="LightGrid-Accent1"/>
        <w:tblW w:type="auto" w:w="0"/>
        <w:tblLook w:firstColumn="1" w:firstRow="1" w:lastColumn="0" w:lastRow="0" w:noHBand="0" w:noVBand="1" w:val="04A0"/>
      </w:tblPr>
      <w:tblGrid>
        <w:gridCol w:w="3211"/>
        <w:gridCol w:w="3211"/>
        <w:gridCol w:w="3211"/>
      </w:tblGrid>
      <w:tr>
        <w:tc>
          <w:tcPr>
            <w:tcW w:type="dxa" w:w="3211"/>
          </w:tcPr>
          <w:p>
            <w:r/>
            <w:r>
              <w:rPr>
                <w:b/>
                <w:sz w:val="20"/>
              </w:rPr>
              <w:t>도면</w:t>
            </w:r>
          </w:p>
        </w:tc>
        <w:tc>
          <w:tcPr>
            <w:tcW w:type="dxa" w:w="3211"/>
          </w:tcPr>
          <w:p>
            <w:r/>
            <w:r>
              <w:rPr>
                <w:b/>
                <w:sz w:val="20"/>
              </w:rPr>
              <w:t>제목</w:t>
            </w:r>
          </w:p>
        </w:tc>
        <w:tc>
          <w:tcPr>
            <w:tcW w:type="dxa" w:w="3211"/>
          </w:tcPr>
          <w:p>
            <w:r/>
            <w:r>
              <w:rPr>
                <w:b/>
                <w:sz w:val="20"/>
              </w:rPr>
              <w:t>한 줄 요지</w:t>
            </w:r>
          </w:p>
        </w:tc>
      </w:tr>
      <w:tr>
        <w:tc>
          <w:tcPr>
            <w:tcW w:type="dxa" w:w="3211"/>
          </w:tcPr>
          <w:p>
            <w:r/>
            <w:r>
              <w:rPr>
                <w:sz w:val="20"/>
              </w:rPr>
              <w:t>Fig. 2</w:t>
            </w:r>
          </w:p>
        </w:tc>
        <w:tc>
          <w:tcPr>
            <w:tcW w:type="dxa" w:w="3211"/>
          </w:tcPr>
          <w:p>
            <w:r/>
            <w:r>
              <w:rPr>
                <w:sz w:val="20"/>
              </w:rPr>
              <w:t>동적 3D 지오펜스 생성 절차</w:t>
            </w:r>
          </w:p>
        </w:tc>
        <w:tc>
          <w:tcPr>
            <w:tcW w:type="dxa" w:w="3211"/>
          </w:tcPr>
          <w:p>
            <w:r/>
            <w:r>
              <w:rPr>
                <w:sz w:val="20"/>
              </w:rPr>
              <w:t>S210 이벤트 수신 → S220 형상 결정 → S230 저장소 등록 → S240 APF 주입 → S250 TTL 만료 삭제</w:t>
            </w:r>
          </w:p>
        </w:tc>
      </w:tr>
      <w:tr>
        <w:tc>
          <w:tcPr>
            <w:tcW w:type="dxa" w:w="3211"/>
          </w:tcPr>
          <w:p>
            <w:r/>
            <w:r>
              <w:rPr>
                <w:sz w:val="20"/>
              </w:rPr>
              <w:t>Fig. 3</w:t>
            </w:r>
          </w:p>
        </w:tc>
        <w:tc>
          <w:tcPr>
            <w:tcW w:type="dxa" w:w="3211"/>
          </w:tcPr>
          <w:p>
            <w:r/>
            <w:r>
              <w:rPr>
                <w:sz w:val="20"/>
              </w:rPr>
              <w:t>분산 CD&amp;R 메시지 시퀀스</w:t>
            </w:r>
          </w:p>
        </w:tc>
        <w:tc>
          <w:tcPr>
            <w:tcW w:type="dxa" w:w="3211"/>
          </w:tcPr>
          <w:p>
            <w:r/>
            <w:r>
              <w:rPr>
                <w:sz w:val="20"/>
              </w:rPr>
              <w:t>공역 제어기 → 120대 드론 브로드캐스트 → 각 드론 로컬 APF 재계산 → 확인 ACK</w:t>
            </w:r>
          </w:p>
        </w:tc>
      </w:tr>
      <w:tr>
        <w:tc>
          <w:tcPr>
            <w:tcW w:type="dxa" w:w="3211"/>
          </w:tcPr>
          <w:p>
            <w:r/>
            <w:r>
              <w:rPr>
                <w:sz w:val="20"/>
              </w:rPr>
              <w:t>Fig. 4</w:t>
            </w:r>
          </w:p>
        </w:tc>
        <w:tc>
          <w:tcPr>
            <w:tcW w:type="dxa" w:w="3211"/>
          </w:tcPr>
          <w:p>
            <w:r/>
            <w:r>
              <w:rPr>
                <w:sz w:val="20"/>
              </w:rPr>
              <w:t>APF 벡터 합성 / 강풍 모드 전환</w:t>
            </w:r>
          </w:p>
        </w:tc>
        <w:tc>
          <w:tcPr>
            <w:tcW w:type="dxa" w:w="3211"/>
          </w:tcPr>
          <w:p>
            <w:r/>
            <w:r>
              <w:rPr>
                <w:sz w:val="20"/>
              </w:rPr>
              <w:t>F_attr + Σ F_rep 벡터 다이어그램 + 풍속 10 m/s 초과 시 k_rep/k_att 스위치 조건</w:t>
            </w:r>
          </w:p>
        </w:tc>
      </w:tr>
      <w:tr>
        <w:tc>
          <w:tcPr>
            <w:tcW w:type="dxa" w:w="3211"/>
          </w:tcPr>
          <w:p>
            <w:r/>
            <w:r>
              <w:rPr>
                <w:sz w:val="20"/>
              </w:rPr>
              <w:t>Fig. 5</w:t>
            </w:r>
          </w:p>
        </w:tc>
        <w:tc>
          <w:tcPr>
            <w:tcW w:type="dxa" w:w="3211"/>
          </w:tcPr>
          <w:p>
            <w:r/>
            <w:r>
              <w:rPr>
                <w:sz w:val="20"/>
              </w:rPr>
              <w:t>WebGPU Compute 병렬 파이프라인</w:t>
            </w:r>
          </w:p>
        </w:tc>
        <w:tc>
          <w:tcPr>
            <w:tcW w:type="dxa" w:w="3211"/>
          </w:tcPr>
          <w:p>
            <w:r/>
            <w:r>
              <w:rPr>
                <w:sz w:val="20"/>
              </w:rPr>
              <w:t>CPU 입력 버퍼 → workgroup 분할 → coalesced memory access → 결과 버퍼 회신</w:t>
            </w:r>
          </w:p>
        </w:tc>
      </w:tr>
    </w:tbl>
    <w:p>
      <w:r>
        <w:rPr>
          <w:b w:val="0"/>
          <w:sz w:val="22"/>
        </w:rPr>
      </w:r>
    </w:p>
    <w:p>
      <w:r>
        <w:rPr>
          <w:b w:val="0"/>
          <w:color w:val="6B7280"/>
          <w:sz w:val="20"/>
        </w:rPr>
        <w:t>※ 본 문서는 출원 명세서의 「요약서」 및 「대표도면 설명」에 바로 활용할 수 있도록 문단 단위로 정리되었음. 실제 도면 SVG는 `docs/images/`, Mermaid 소스는 `SDACS_System_Diagrams.html`에 수록.</w:t>
      </w:r>
    </w:p>
    <w:p>
      <w:r>
        <w:rPr>
          <w:b w:val="0"/>
          <w:sz w:val="22"/>
        </w:rPr>
      </w:r>
    </w:p>
    <w:p>
      <w:pPr>
        <w:jc w:val="center"/>
      </w:pPr>
      <w:r>
        <w:rPr>
          <w:b w:val="0"/>
          <w:color w:val="6B7280"/>
          <w:sz w:val="20"/>
        </w:rPr>
        <w:t>— 끝 —</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Fonts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