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val="clear" w:color="auto" w:fill="5B21B6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36"/>
              </w:rPr>
              <w:t>SDACS — Swarm Drone Airspace Control System</w:t>
            </w:r>
          </w:p>
        </w:tc>
      </w:tr>
      <w:tr>
        <w:tc>
          <w:tcPr>
            <w:tcW w:type="dxa" w:w="9972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5B21B6"/>
                <w:sz w:val="20"/>
              </w:rPr>
              <w:t>교수님 검토용 1페이지 브리핑  |  v3.0  |  2026-04-21  |  선우 (sun475300@naver.com / 010-9058-3745)</w:t>
            </w:r>
          </w:p>
        </w:tc>
      </w:tr>
    </w:tbl>
    <w:p/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문제 정의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도심 저고도(≤150m) 공역에서 수십~수백대 군집드론이 동시 운용될 때 (1) 동적 지오펜싱 부재, (2) 중앙집중식 충돌회피의 확장성 한계, (3) 기상(특히 돌풍) 적응 부족, (4) 실시간 계산 부하의 4대 문제가 상용화를 가로막는다.</w:t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핵심 발명 (SDACS)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① L1 에이전트(10Hz)·L2 관제기(1Hz) 계층 아키텍처  ② 실린더/구/프리즘 TTL 동적 3D 지오펜스  ③ APF 기반 분산 CD&amp;R (F = F_attr + ΣF_rep)  ④ 풍속 적응 듀얼모드(DEFAULT/WINDY ±10m/s 히스테리시스)  ⑤ WebGPU compute shader 병렬가속 (O(N²)→O(log N), 38.4× 실측).</w:t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Monte-Carlo 검증 결과 (38,400 runs)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충돌해소율</w:t>
            </w:r>
          </w:p>
        </w:tc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평균지연</w:t>
            </w:r>
          </w:p>
        </w:tc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위반율</w:t>
            </w:r>
          </w:p>
        </w:tc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Fail-safe</w:t>
            </w:r>
          </w:p>
        </w:tc>
        <w:tc>
          <w:tcPr>
            <w:tcW w:type="dxa" w:w="1662"/>
            <w:shd w:val="clear" w:color="auto" w:fill="1F3A6B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100대 동시</w:t>
            </w:r>
          </w:p>
        </w:tc>
      </w:tr>
      <w:tr>
        <w:tc>
          <w:tcPr>
            <w:tcW w:type="dxa" w:w="1662"/>
            <w:shd w:val="clear" w:color="auto" w:fill="EEF2FF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측정값</w:t>
            </w:r>
          </w:p>
        </w:tc>
        <w:tc>
          <w:tcPr>
            <w:tcW w:type="dxa" w:w="1662"/>
            <w:shd w:val="clear" w:color="auto" w:fill="DCFCE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97.8%</w:t>
            </w:r>
          </w:p>
        </w:tc>
        <w:tc>
          <w:tcPr>
            <w:tcW w:type="dxa" w:w="1662"/>
            <w:shd w:val="clear" w:color="auto" w:fill="DCFCE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1.42s</w:t>
            </w:r>
          </w:p>
        </w:tc>
        <w:tc>
          <w:tcPr>
            <w:tcW w:type="dxa" w:w="1662"/>
            <w:shd w:val="clear" w:color="auto" w:fill="DCFCE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0.11%</w:t>
            </w:r>
          </w:p>
        </w:tc>
        <w:tc>
          <w:tcPr>
            <w:tcW w:type="dxa" w:w="1662"/>
            <w:shd w:val="clear" w:color="auto" w:fill="DCFCE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100%</w:t>
            </w:r>
          </w:p>
        </w:tc>
        <w:tc>
          <w:tcPr>
            <w:tcW w:type="dxa" w:w="1662"/>
            <w:shd w:val="clear" w:color="auto" w:fill="DCFCE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1F3A6B"/>
                <w:sz w:val="20"/>
              </w:rPr>
              <w:t>95.2%</w:t>
            </w:r>
          </w:p>
        </w:tc>
      </w:tr>
    </w:tbl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선행기술 대비 차별성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• Amazon Prime Air (US10026324): 중앙집중 → 본 발명은 분산 L1/L2  • DJI AirSense: 단일기 ADS-B 수신 → 본 발명은 군집 능동 CD&amp;R  • NASA UTM: 개념 프레임워크 → 본 발명은 구체 구현(APF+WebGPU+Geofence 결합)</w:t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청구범위 전략 (독립항 3 + 종속항 12 = 15)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[독립항1] 시스템 — L1/L2 계층 + 동적 지오펜스 + APF-CD&amp;R + 풍속적응 + WebGPU 가속의 결합.  [독립항2] 방법 — 상기 결합의 각 단계(측위→펜스검사→분산해소→적응→가속).  [독립항3] 컴퓨터 판독가능 매체 — 상기 방법을 실행시키는 프로그램.</w:t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출원 로드맵 &amp; 예산 개요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KR 국내출원(’26.05)→우선권 기반 PCT 국제출원(’27.05, 12개월)→주요국 진입(’29, 30개월): US·EP·JP·CN. 총 5년 누적 예산 ₩48–62M (변리사 수임·관납·번역·심사·유지 포함).</w:t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F3A6B"/>
          <w:sz w:val="23"/>
        </w:rPr>
        <w:t>■ 교수님 요청사항 (Action Items)</w:t>
      </w:r>
    </w:p>
    <w:p>
      <w:pPr>
        <w:spacing w:after="40" w:line="276" w:lineRule="auto"/>
      </w:pPr>
      <w:r>
        <w:rPr>
          <w:rFonts w:ascii="Malgun Gothic" w:hAnsi="Malgun Gothic" w:eastAsia="Malgun Gothic"/>
          <w:sz w:val="20"/>
        </w:rPr>
        <w:t>1) 발명자 구성·지분비율 확정 (선우 단독 vs. 공동출원 검토)  2) 학교 TLO/산학협력단 경유 출원 여부 결정  3) 방어·공격 포트폴리오 범위 합의 (단일특허 vs. 특허군 3~5건 분할)  4) 논문 동시출원 전략 — 국내 KCI 선공개 vs. SCI 동시</w:t>
      </w:r>
    </w:p>
    <w:p/>
    <w:p>
      <w:pPr>
        <w:jc w:val="center"/>
      </w:pPr>
      <w:r>
        <w:rPr>
          <w:rFonts w:ascii="Malgun Gothic" w:hAnsi="Malgun Gothic" w:eastAsia="Malgun Gothic"/>
          <w:i/>
          <w:color w:val="5B21B6"/>
          <w:sz w:val="17"/>
        </w:rPr>
        <w:t>첨부: 발명신고서 v3 · 청구범위 초안 · 요약서·대표도 · 선행기술조사 · 시스템 다이어그램 · MC 검증 엑셀 · 브리핑 PPT · 출원 로드맵 · 체크리스트·FAQ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