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5BE655" w14:textId="77777777" w:rsidR="00590BD8" w:rsidRDefault="00000000">
      <w:pPr>
        <w:pStyle w:val="Title"/>
      </w:pPr>
      <w:r w:rsidRPr="0072504A">
        <w:rPr>
          <w:highlight w:val="yellow"/>
        </w:rPr>
        <w:t>Generative AI and the Productivity of Finance and Accounting Scholars</w:t>
      </w:r>
    </w:p>
    <w:p w14:paraId="77A00E03" w14:textId="77777777" w:rsidR="00590BD8" w:rsidRDefault="00000000">
      <w:pPr>
        <w:pStyle w:val="Author"/>
      </w:pPr>
      <w:r>
        <w:t>Mingwei Sun · School of Accounting and Finance, College of Business and Law, Adelaide University</w:t>
      </w:r>
    </w:p>
    <w:p w14:paraId="52467FB3" w14:textId="77777777" w:rsidR="00590BD8" w:rsidRDefault="00000000">
      <w:pPr>
        <w:pStyle w:val="Date1"/>
      </w:pPr>
      <w:r>
        <w:t>Research pitch · 23 October 2026</w:t>
      </w:r>
    </w:p>
    <w:p w14:paraId="759DE48B" w14:textId="77777777" w:rsidR="00590BD8" w:rsidRDefault="00000000">
      <w:pPr>
        <w:pStyle w:val="FirstParagraph"/>
      </w:pPr>
      <w:r>
        <w:rPr>
          <w:i/>
          <w:iCs/>
        </w:rPr>
        <w:t>Prepared with the Pitching Research template of Faff (2024).</w:t>
      </w:r>
    </w:p>
    <w:p w14:paraId="4555A5A0" w14:textId="77777777" w:rsidR="00590BD8" w:rsidRDefault="00000000">
      <w:pPr>
        <w:pStyle w:val="Heading1"/>
      </w:pPr>
      <w:bookmarkStart w:id="0" w:name="project-summary"/>
      <w:r>
        <w:t>Project Summary</w:t>
      </w:r>
    </w:p>
    <w:p w14:paraId="01BFD201" w14:textId="77777777" w:rsidR="00590BD8" w:rsidRDefault="00000000">
      <w:pPr>
        <w:pStyle w:val="FirstParagraph"/>
      </w:pPr>
      <w:r>
        <w:t>Generative AI can now draft text, write code and even produce complete finance and accounting papers. Since late 2022 the number of finance and accounting working papers posted to SSRN has risen sharply after a decade of flat output (SSRN records indexed by OpenAlex). This project asks how much generative AI raises the output of finance and accounting scholars and which kinds of research it speeds up. I follow long-term SSRN posters in finance and accounting from 2018 to September 2026 and classify each scholar’s pre-ChatGPT papers by research area and method (for example, empirical asset pricing, asset pricing theory or experimental auditing). I then compare how output changes after each type of AI release (writing, coding and reasoning tools) for scholars with different method mixes, net of SSRN’s own growth in each field. The method mix is fixed before ChatGPT, so AI cannot have shaped it, and the estimates show which methods each release speeds up without assuming it in advance. An additional analysis asks whether the extra papers are genuine research or “inflation”: it compares how often papers reach ranked journals within two years of posting, allowing for longer review times as journals receive more submissions. The results matter to promotion committees, journals and doctoral programs in business schools that count papers.</w:t>
      </w:r>
    </w:p>
    <w:p w14:paraId="36E832E7" w14:textId="77777777" w:rsidR="00590BD8" w:rsidRDefault="00000000">
      <w:pPr>
        <w:pStyle w:val="Heading1"/>
      </w:pPr>
      <w:bookmarkStart w:id="1" w:name="a-working-title"/>
      <w:bookmarkEnd w:id="0"/>
      <w:r>
        <w:t>(A) Working Title</w:t>
      </w:r>
    </w:p>
    <w:p w14:paraId="04F586CA" w14:textId="77777777" w:rsidR="00590BD8" w:rsidRDefault="00000000">
      <w:pPr>
        <w:pStyle w:val="FirstParagraph"/>
      </w:pPr>
      <w:r>
        <w:t>Generative AI and the Productivity of Finance and Accounting Scholars</w:t>
      </w:r>
    </w:p>
    <w:p w14:paraId="5A40A6B5" w14:textId="77777777" w:rsidR="00590BD8" w:rsidRDefault="00000000">
      <w:pPr>
        <w:pStyle w:val="Heading1"/>
      </w:pPr>
      <w:bookmarkStart w:id="2" w:name="b-basic-research-question"/>
      <w:bookmarkEnd w:id="1"/>
      <w:r>
        <w:t>(B) Basic Research Question</w:t>
      </w:r>
    </w:p>
    <w:p w14:paraId="7D4857D9" w14:textId="77777777" w:rsidR="00590BD8" w:rsidRDefault="00000000">
      <w:pPr>
        <w:pStyle w:val="FirstParagraph"/>
      </w:pPr>
      <w:r>
        <w:t>How much does generative AI raise the research output of finance and accounting scholars, and which research methods does it speed up? A secondary question is whether the extra papers are published in ranked journals as often as other papers once slower peer review is taken into account.</w:t>
      </w:r>
    </w:p>
    <w:p w14:paraId="5B5F27D3" w14:textId="77777777" w:rsidR="00590BD8" w:rsidRDefault="00000000">
      <w:pPr>
        <w:pStyle w:val="Heading1"/>
      </w:pPr>
      <w:bookmarkStart w:id="3" w:name="c-key-papers"/>
      <w:bookmarkEnd w:id="2"/>
      <w:r>
        <w:t>(C) Key Papers</w:t>
      </w:r>
    </w:p>
    <w:p w14:paraId="6C87BD90" w14:textId="77777777" w:rsidR="00590BD8" w:rsidRDefault="00000000">
      <w:pPr>
        <w:pStyle w:val="Compact"/>
        <w:numPr>
          <w:ilvl w:val="0"/>
          <w:numId w:val="2"/>
        </w:numPr>
      </w:pPr>
      <w:r>
        <w:rPr>
          <w:b/>
          <w:bCs/>
        </w:rPr>
        <w:t xml:space="preserve">Kusumegi, Yang, Ginsparg, de Vaan, Stuart &amp; Yin (2025, </w:t>
      </w:r>
      <w:r>
        <w:rPr>
          <w:b/>
          <w:bCs/>
          <w:i/>
          <w:iCs/>
        </w:rPr>
        <w:t>Science</w:t>
      </w:r>
      <w:r>
        <w:rPr>
          <w:b/>
          <w:bCs/>
        </w:rPr>
        <w:t>).</w:t>
      </w:r>
      <w:r>
        <w:t xml:space="preserve"> The closest prior work: across 2.1 million arXiv, bioRxiv and SSRN preprints, scholars post more papers after their first abstract is flagged as LLM-assisted, with the largest estimate on SSRN (+59.8%).</w:t>
      </w:r>
    </w:p>
    <w:p w14:paraId="2E803D71" w14:textId="77777777" w:rsidR="00590BD8" w:rsidRDefault="00000000">
      <w:pPr>
        <w:pStyle w:val="Compact"/>
        <w:numPr>
          <w:ilvl w:val="0"/>
          <w:numId w:val="2"/>
        </w:numPr>
      </w:pPr>
      <w:r>
        <w:rPr>
          <w:b/>
          <w:bCs/>
        </w:rPr>
        <w:t xml:space="preserve">Renault, Bergeaud &amp; Bosquet (2026, </w:t>
      </w:r>
      <w:r>
        <w:rPr>
          <w:b/>
          <w:bCs/>
          <w:i/>
          <w:iCs/>
        </w:rPr>
        <w:t>PNAS</w:t>
      </w:r>
      <w:r>
        <w:rPr>
          <w:b/>
          <w:bCs/>
        </w:rPr>
        <w:t>), and the reply by Kusumegi et al. (2026).</w:t>
      </w:r>
      <w:r>
        <w:t xml:space="preserve"> Kusumegi et al. date each scholar’s AI adoption to the month of their first paper flagged as AI-assisted. Renault et al. show that this dating rule alone creates an apparent jump in output: busy months are more likely to contain a flagged paper, so adoption dates fall on high-output months, and the jump appears even in simulations where AI has no effect. The original authors reply that an association of about 7–20% more papers survives designs that avoid this problem, but concede that none of their estimates is causal. Neither side re-examines SSRN, where the headline estimate was largest.</w:t>
      </w:r>
    </w:p>
    <w:p w14:paraId="08C1E2C2" w14:textId="77777777" w:rsidR="00590BD8" w:rsidRDefault="00000000">
      <w:pPr>
        <w:pStyle w:val="Compact"/>
        <w:numPr>
          <w:ilvl w:val="0"/>
          <w:numId w:val="2"/>
        </w:numPr>
      </w:pPr>
      <w:r>
        <w:rPr>
          <w:b/>
          <w:bCs/>
        </w:rPr>
        <w:t xml:space="preserve">Novy-Marx &amp; Velikov (2026, </w:t>
      </w:r>
      <w:r>
        <w:rPr>
          <w:b/>
          <w:bCs/>
          <w:i/>
          <w:iCs/>
        </w:rPr>
        <w:t>Journal of Economic Literature</w:t>
      </w:r>
      <w:r>
        <w:rPr>
          <w:b/>
          <w:bCs/>
        </w:rPr>
        <w:t>).</w:t>
      </w:r>
      <w:r>
        <w:t xml:space="preserve"> An LLM pipeline produces hundreds of complete papers on stock return predictability from accounting signals. The authors present it as a warning that AI can industrialise HARKing, that is, hypothesising after </w:t>
      </w:r>
      <w:r>
        <w:lastRenderedPageBreak/>
        <w:t>the results are known (Kerr 1998): writing a theory to fit a result that was found by searching through many tests.</w:t>
      </w:r>
    </w:p>
    <w:p w14:paraId="1124E3A1" w14:textId="77777777" w:rsidR="00590BD8" w:rsidRDefault="00000000">
      <w:pPr>
        <w:pStyle w:val="Compact"/>
        <w:numPr>
          <w:ilvl w:val="0"/>
          <w:numId w:val="2"/>
        </w:numPr>
      </w:pPr>
      <w:r>
        <w:rPr>
          <w:b/>
          <w:bCs/>
        </w:rPr>
        <w:t xml:space="preserve">Ciconte, Rozario &amp; Urcan (2026, </w:t>
      </w:r>
      <w:r>
        <w:rPr>
          <w:b/>
          <w:bCs/>
          <w:i/>
          <w:iCs/>
        </w:rPr>
        <w:t>Review of Accounting Studies</w:t>
      </w:r>
      <w:r>
        <w:rPr>
          <w:b/>
          <w:bCs/>
        </w:rPr>
        <w:t>).</w:t>
      </w:r>
      <w:r>
        <w:t xml:space="preserve"> The accounting counterpart: AI identifies regulatory shocks, tests their effect on voluntary disclosure and writes complete archival papers; when pointed at non-US regulations it produces many professional-looking papers with spurious results. Together with Novy-Marx &amp; Velikov, it suggests that standard archival designs are the easiest to automate, a prediction this project tests (H1).</w:t>
      </w:r>
    </w:p>
    <w:p w14:paraId="4F3D3EFA" w14:textId="77777777" w:rsidR="00590BD8" w:rsidRDefault="00000000">
      <w:pPr>
        <w:pStyle w:val="Heading1"/>
      </w:pPr>
      <w:bookmarkStart w:id="4" w:name="d-motivationpuzzle"/>
      <w:bookmarkEnd w:id="3"/>
      <w:r>
        <w:t>(D) Motivation/Puzzle</w:t>
      </w:r>
    </w:p>
    <w:p w14:paraId="7BA5CC17" w14:textId="77777777" w:rsidR="00590BD8" w:rsidRDefault="00000000">
      <w:pPr>
        <w:pStyle w:val="FirstParagraph"/>
      </w:pPr>
      <w:r>
        <w:t xml:space="preserve">Finance and accounting working papers are booming. Papers that OpenAlex assigns to the Finance subfield on SSRN were flat at about 4,400 a year from 2015 to 2022, then reached 7,393 in 2025 and 9,125 by early October 2026; accounting rose from 2,683 in 2022 to 5,653 in 2025 (author’s tabulation of OpenAlex records, October 2026). AI can now write such papers end to end: Novy-Marx and Velikov generate hundreds of finance papers on stock return predictability using accounting signals, and Ciconte et al. show AI producing polished archival accounting papers, many with spurious results. At the same time, published output across 26 fields has risen only in computer science (Arcila 2026), and the editors of </w:t>
      </w:r>
      <w:r>
        <w:rPr>
          <w:i/>
          <w:iCs/>
        </w:rPr>
        <w:t>Organization Science</w:t>
      </w:r>
      <w:r>
        <w:t xml:space="preserve"> report submissions up 42% since ChatGPT with lower writing quality, concluding that current AI tools are pushing research toward more rather than better work (Gartenberg et al. 2026).</w:t>
      </w:r>
    </w:p>
    <w:p w14:paraId="2293954E" w14:textId="77777777" w:rsidR="00590BD8" w:rsidRDefault="00000000">
      <w:pPr>
        <w:pStyle w:val="BodyText"/>
      </w:pPr>
      <w:r>
        <w:t>So where do the extra finance and accounting papers go? If AI makes scholars more productive, this is good news, especially for scholars without research assistants. If it mainly multiplies papers in designs that are easy to automate, then paper counts, which business schools use for hiring and promotion, lose their value as a measure of research. Two gaps leave the question open. First, the main estimate of AI’s effect on scholars’ output (Kusumegi et al. 2025) is in doubt: it dates each scholar’s AI adoption by their first paper that a detector flags as AI-assisted, and Renault et al. (2026) show that this dating rule alone produces an apparent output jump, so we do not know how large the true effect is. Second, the only finance evidence (Walther &amp; Dutordoir 2025) uses published journal articles, which appear years after a paper is written and only after journals have filtered out weaker work; it therefore cannot see the working papers that are never published, which is exactly where inflation would show up. The puzzle is to what extent the finance and accounting paper boom is research or inflation, and in which kinds of research.</w:t>
      </w:r>
    </w:p>
    <w:p w14:paraId="12D38A0F" w14:textId="77777777" w:rsidR="00590BD8" w:rsidRDefault="00000000">
      <w:pPr>
        <w:pStyle w:val="BodyText"/>
      </w:pPr>
      <w:r>
        <w:t xml:space="preserve">Peer review makes the two harder to tell apart. When journals receive more manuscripts, reviews can take longer, so genuine papers may also wait longer before they are published. The </w:t>
      </w:r>
      <w:r>
        <w:rPr>
          <w:i/>
          <w:iCs/>
        </w:rPr>
        <w:t>Organization Science</w:t>
      </w:r>
      <w:r>
        <w:t xml:space="preserve"> editors add that, from their conversations with editors across disciplines, the surge is not limited to their journal or to the social sciences (Gartenberg et al. 2026). A fall in the share of recent papers that reach print could therefore reflect longer queues rather than weaker research, and any test of inflation has to allow for it.</w:t>
      </w:r>
    </w:p>
    <w:p w14:paraId="5864282E" w14:textId="77777777" w:rsidR="00590BD8" w:rsidRDefault="00000000">
      <w:pPr>
        <w:pStyle w:val="Heading1"/>
      </w:pPr>
      <w:bookmarkStart w:id="5" w:name="e-idea"/>
      <w:bookmarkEnd w:id="4"/>
      <w:r>
        <w:t>(E) Idea</w:t>
      </w:r>
    </w:p>
    <w:p w14:paraId="15665889" w14:textId="77777777" w:rsidR="00590BD8" w:rsidRDefault="00000000">
      <w:pPr>
        <w:pStyle w:val="FirstParagraph"/>
      </w:pPr>
      <w:r>
        <w:t>Each type of AI release can do different research tasks (drafting text, writing code, working through formal derivations), so it should raise output in different research methods at different times; the estimates show which methods actually gain. Where AI does most of the work, part of the extra output may be inflation.</w:t>
      </w:r>
    </w:p>
    <w:p w14:paraId="125F41DC" w14:textId="77777777" w:rsidR="00590BD8" w:rsidRDefault="00000000">
      <w:pPr>
        <w:pStyle w:val="BodyText"/>
      </w:pPr>
      <w:r>
        <w:rPr>
          <w:b/>
          <w:bCs/>
        </w:rPr>
        <w:t>Classifying research.</w:t>
      </w:r>
      <w:r>
        <w:t xml:space="preserve"> I classify each scholar’s 2018–2021 SSRN papers on two established dimensions (Table 1): research area and method. Finance areas follow the JEL classification (American Economic Association, n.d.); accounting areas and the four methods follow the BYU accounting research rankings (Coyne, Summers, Williams &amp; Wood 2010), and Oler, Oler &amp; Skousen </w:t>
      </w:r>
      <w:r>
        <w:lastRenderedPageBreak/>
        <w:t>(2010) document how archival methods came to dominate accounting research. Combining the two dimensions gives the familiar labels: empirical asset pricing is G1 × archival, asset pricing theory is G1 × analytical, empirical corporate finance is G3 × archival, and experimental auditing is auditing × experimental.</w:t>
      </w:r>
    </w:p>
    <w:p w14:paraId="6B6E5056" w14:textId="77777777" w:rsidR="00590BD8" w:rsidRDefault="00000000">
      <w:pPr>
        <w:pStyle w:val="TableCaption"/>
      </w:pPr>
      <w:bookmarkStart w:id="6" w:name="table1"/>
      <w:r>
        <w:t>Table </w:t>
      </w:r>
      <w:r>
        <w:fldChar w:fldCharType="begin"/>
      </w:r>
      <w:r>
        <w:instrText xml:space="preserve">SEQ Table \* ARABIC </w:instrText>
      </w:r>
      <w:r>
        <w:fldChar w:fldCharType="separate"/>
      </w:r>
      <w:r>
        <w:t>1</w:t>
      </w:r>
      <w:r>
        <w:fldChar w:fldCharType="end"/>
      </w:r>
      <w:bookmarkEnd w:id="6"/>
      <w:r>
        <w:t>: Research areas and methods used to classify each scholar’s 2018–2021 papers</w:t>
      </w:r>
    </w:p>
    <w:tbl>
      <w:tblPr>
        <w:tblStyle w:val="Table"/>
        <w:tblW w:w="5000" w:type="pct"/>
        <w:tblLayout w:type="fixed"/>
        <w:tblLook w:val="0020" w:firstRow="1" w:lastRow="0" w:firstColumn="0" w:lastColumn="0" w:noHBand="0" w:noVBand="0"/>
        <w:tblCaption w:val="Research areas and methods used to classify each scholar’s 2018–2021 papers"/>
      </w:tblPr>
      <w:tblGrid>
        <w:gridCol w:w="1376"/>
        <w:gridCol w:w="6195"/>
        <w:gridCol w:w="2113"/>
      </w:tblGrid>
      <w:tr w:rsidR="00590BD8" w14:paraId="42D7B817" w14:textId="77777777" w:rsidTr="00590BD8">
        <w:trPr>
          <w:cnfStyle w:val="100000000000" w:firstRow="1" w:lastRow="0" w:firstColumn="0" w:lastColumn="0" w:oddVBand="0" w:evenVBand="0" w:oddHBand="0" w:evenHBand="0" w:firstRowFirstColumn="0" w:firstRowLastColumn="0" w:lastRowFirstColumn="0" w:lastRowLastColumn="0"/>
          <w:tblHeader/>
        </w:trPr>
        <w:tc>
          <w:tcPr>
            <w:tcW w:w="1125" w:type="dxa"/>
          </w:tcPr>
          <w:p w14:paraId="020CF506" w14:textId="77777777" w:rsidR="00590BD8" w:rsidRDefault="00000000">
            <w:pPr>
              <w:pStyle w:val="Compact"/>
              <w:jc w:val="left"/>
            </w:pPr>
            <w:r>
              <w:t>Dimension</w:t>
            </w:r>
          </w:p>
        </w:tc>
        <w:tc>
          <w:tcPr>
            <w:tcW w:w="5065" w:type="dxa"/>
          </w:tcPr>
          <w:p w14:paraId="46208B5F" w14:textId="77777777" w:rsidR="00590BD8" w:rsidRDefault="00000000">
            <w:pPr>
              <w:pStyle w:val="Compact"/>
              <w:jc w:val="left"/>
            </w:pPr>
            <w:r>
              <w:t>Categories</w:t>
            </w:r>
          </w:p>
        </w:tc>
        <w:tc>
          <w:tcPr>
            <w:tcW w:w="1728" w:type="dxa"/>
          </w:tcPr>
          <w:p w14:paraId="698F8B16" w14:textId="77777777" w:rsidR="00590BD8" w:rsidRDefault="00000000">
            <w:pPr>
              <w:pStyle w:val="Compact"/>
              <w:jc w:val="left"/>
            </w:pPr>
            <w:r>
              <w:t>Source</w:t>
            </w:r>
          </w:p>
        </w:tc>
      </w:tr>
      <w:tr w:rsidR="00590BD8" w14:paraId="1A4BC96D" w14:textId="77777777">
        <w:tc>
          <w:tcPr>
            <w:tcW w:w="1125" w:type="dxa"/>
          </w:tcPr>
          <w:p w14:paraId="68BE0FD0" w14:textId="77777777" w:rsidR="00590BD8" w:rsidRDefault="00000000">
            <w:pPr>
              <w:pStyle w:val="Compact"/>
              <w:jc w:val="left"/>
            </w:pPr>
            <w:r>
              <w:t>Finance research area</w:t>
            </w:r>
          </w:p>
        </w:tc>
        <w:tc>
          <w:tcPr>
            <w:tcW w:w="5065" w:type="dxa"/>
          </w:tcPr>
          <w:p w14:paraId="5E718703" w14:textId="77777777" w:rsidR="00590BD8" w:rsidRDefault="00000000">
            <w:pPr>
              <w:pStyle w:val="Compact"/>
              <w:jc w:val="left"/>
            </w:pPr>
            <w:r>
              <w:t>G1 financial markets and asset pricing; G2 financial institutions and banking; G3 corporate finance and governance; G4 behavioral finance; G5 household finance</w:t>
            </w:r>
          </w:p>
        </w:tc>
        <w:tc>
          <w:tcPr>
            <w:tcW w:w="1728" w:type="dxa"/>
          </w:tcPr>
          <w:p w14:paraId="44555FDF" w14:textId="77777777" w:rsidR="00590BD8" w:rsidRDefault="00000000">
            <w:pPr>
              <w:pStyle w:val="Compact"/>
              <w:jc w:val="left"/>
            </w:pPr>
            <w:r>
              <w:t>JEL classification (AEA)</w:t>
            </w:r>
          </w:p>
        </w:tc>
      </w:tr>
      <w:tr w:rsidR="00590BD8" w14:paraId="790CD86C" w14:textId="77777777">
        <w:tc>
          <w:tcPr>
            <w:tcW w:w="1125" w:type="dxa"/>
          </w:tcPr>
          <w:p w14:paraId="687B2526" w14:textId="77777777" w:rsidR="00590BD8" w:rsidRDefault="00000000">
            <w:pPr>
              <w:pStyle w:val="Compact"/>
              <w:jc w:val="left"/>
            </w:pPr>
            <w:r>
              <w:t>Accounting research area</w:t>
            </w:r>
          </w:p>
        </w:tc>
        <w:tc>
          <w:tcPr>
            <w:tcW w:w="5065" w:type="dxa"/>
          </w:tcPr>
          <w:p w14:paraId="574D18BE" w14:textId="77777777" w:rsidR="00590BD8" w:rsidRDefault="00000000">
            <w:pPr>
              <w:pStyle w:val="Compact"/>
              <w:jc w:val="left"/>
            </w:pPr>
            <w:r>
              <w:t>financial accounting and disclosure; auditing; managerial accounting; tax; accounting information systems; other</w:t>
            </w:r>
          </w:p>
        </w:tc>
        <w:tc>
          <w:tcPr>
            <w:tcW w:w="1728" w:type="dxa"/>
          </w:tcPr>
          <w:p w14:paraId="43BB071E" w14:textId="77777777" w:rsidR="00590BD8" w:rsidRDefault="00000000">
            <w:pPr>
              <w:pStyle w:val="Compact"/>
              <w:jc w:val="left"/>
            </w:pPr>
            <w:r>
              <w:t>Coyne et al. (2010)</w:t>
            </w:r>
          </w:p>
        </w:tc>
      </w:tr>
      <w:tr w:rsidR="00590BD8" w14:paraId="3705881E" w14:textId="77777777">
        <w:tc>
          <w:tcPr>
            <w:tcW w:w="1125" w:type="dxa"/>
          </w:tcPr>
          <w:p w14:paraId="7CD78EDB" w14:textId="77777777" w:rsidR="00590BD8" w:rsidRDefault="00000000">
            <w:pPr>
              <w:pStyle w:val="Compact"/>
              <w:jc w:val="left"/>
            </w:pPr>
            <w:r>
              <w:t>Method</w:t>
            </w:r>
          </w:p>
        </w:tc>
        <w:tc>
          <w:tcPr>
            <w:tcW w:w="5065" w:type="dxa"/>
          </w:tcPr>
          <w:p w14:paraId="74906FDA" w14:textId="77777777" w:rsidR="00590BD8" w:rsidRDefault="00000000">
            <w:pPr>
              <w:pStyle w:val="Compact"/>
              <w:jc w:val="left"/>
            </w:pPr>
            <w:r>
              <w:t>analytical (theory); archival, by data source (standard databases, text, hand-collected records); experimental; other, split into survey, interview or field study, and review or commentary</w:t>
            </w:r>
          </w:p>
        </w:tc>
        <w:tc>
          <w:tcPr>
            <w:tcW w:w="1728" w:type="dxa"/>
          </w:tcPr>
          <w:p w14:paraId="641FE79E" w14:textId="77777777" w:rsidR="00590BD8" w:rsidRDefault="00000000">
            <w:pPr>
              <w:pStyle w:val="Compact"/>
              <w:jc w:val="left"/>
            </w:pPr>
            <w:r>
              <w:t>Coyne et al. (2010); Oler et al. (2010)</w:t>
            </w:r>
          </w:p>
        </w:tc>
      </w:tr>
    </w:tbl>
    <w:p w14:paraId="6A43BA11" w14:textId="77777777" w:rsidR="00590BD8" w:rsidRDefault="00000000">
      <w:pPr>
        <w:pStyle w:val="BodyText"/>
      </w:pPr>
      <w:r>
        <w:rPr>
          <w:b/>
          <w:bCs/>
        </w:rPr>
        <w:t>Model.</w:t>
      </w:r>
      <w:r>
        <w:t xml:space="preserve"> For scholar </w:t>
      </w:r>
      <m:oMath>
        <m:r>
          <w:rPr>
            <w:rFonts w:ascii="Cambria Math" w:hAnsi="Cambria Math"/>
          </w:rPr>
          <m:t>i</m:t>
        </m:r>
      </m:oMath>
      <w:r>
        <w:t xml:space="preserve"> in quarter </w:t>
      </w:r>
      <m:oMath>
        <m:r>
          <w:rPr>
            <w:rFonts w:ascii="Cambria Math" w:hAnsi="Cambria Math"/>
          </w:rPr>
          <m:t>t</m:t>
        </m:r>
      </m:oMath>
      <w:r>
        <w:t>, expected output is</w:t>
      </w:r>
    </w:p>
    <w:p w14:paraId="43460FD8" w14:textId="77777777" w:rsidR="00590BD8" w:rsidRDefault="00000000">
      <w:pPr>
        <w:pStyle w:val="BodyText"/>
      </w:pPr>
      <m:oMathPara>
        <m:oMathParaPr>
          <m:jc m:val="center"/>
        </m:oMathParaPr>
        <m:oMath>
          <m:r>
            <m:rPr>
              <m:nor/>
            </m:rPr>
            <m:t>E</m:t>
          </m:r>
          <m:r>
            <m:rPr>
              <m:sty m:val="p"/>
            </m:rPr>
            <w:rPr>
              <w:rFonts w:ascii="Cambria Math" w:hAnsi="Cambria Math"/>
            </w:rPr>
            <m:t>[</m:t>
          </m:r>
          <m:sSub>
            <m:sSubPr>
              <m:ctrlPr>
                <w:rPr>
                  <w:rFonts w:ascii="Cambria Math" w:hAnsi="Cambria Math"/>
                </w:rPr>
              </m:ctrlPr>
            </m:sSubPr>
            <m:e>
              <m:r>
                <m:rPr>
                  <m:nor/>
                </m:rPr>
                <m:t>Papers</m:t>
              </m:r>
            </m:e>
            <m:sub>
              <m:r>
                <w:rPr>
                  <w:rFonts w:ascii="Cambria Math" w:hAnsi="Cambria Math"/>
                </w:rPr>
                <m:t>it</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β</m:t>
                          </m:r>
                        </m:e>
                        <m:sub>
                          <m:r>
                            <w:rPr>
                              <w:rFonts w:ascii="Cambria Math" w:hAnsi="Cambria Math"/>
                            </w:rPr>
                            <m:t>km</m:t>
                          </m:r>
                        </m:sub>
                      </m:sSub>
                    </m:e>
                  </m:nary>
                </m:e>
              </m:nary>
              <m:r>
                <w:rPr>
                  <w:rFonts w:ascii="Cambria Math" w:hAnsi="Cambria Math"/>
                </w:rPr>
                <m:t> </m:t>
              </m:r>
              <m:sSub>
                <m:sSubPr>
                  <m:ctrlPr>
                    <w:rPr>
                      <w:rFonts w:ascii="Cambria Math" w:hAnsi="Cambria Math"/>
                    </w:rPr>
                  </m:ctrlPr>
                </m:sSubPr>
                <m:e>
                  <m:r>
                    <m:rPr>
                      <m:nor/>
                    </m:rPr>
                    <m:t>Release</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nor/>
                    </m:rPr>
                    <m:t>Share</m:t>
                  </m:r>
                </m:e>
                <m:sub>
                  <m:r>
                    <w:rPr>
                      <w:rFonts w:ascii="Cambria Math" w:hAnsi="Cambria Math"/>
                    </w:rPr>
                    <m:t>im</m:t>
                  </m:r>
                </m:sub>
              </m:sSub>
            </m:e>
          </m:d>
        </m:oMath>
      </m:oMathPara>
    </w:p>
    <w:p w14:paraId="71DA99FF" w14:textId="77777777" w:rsidR="00590BD8" w:rsidRDefault="00000000">
      <w:pPr>
        <w:pStyle w:val="FirstParagraph"/>
      </w:pPr>
      <w:r>
        <w:t>Table 2 reads the equation from left to right and shows which part of output growth each term captures.</w:t>
      </w:r>
    </w:p>
    <w:p w14:paraId="6A52C53E" w14:textId="77777777" w:rsidR="00590BD8" w:rsidRDefault="00000000">
      <w:pPr>
        <w:pStyle w:val="TableCaption"/>
      </w:pPr>
      <w:bookmarkStart w:id="7" w:name="table2"/>
      <w:r>
        <w:t>Table </w:t>
      </w:r>
      <w:r>
        <w:fldChar w:fldCharType="begin"/>
      </w:r>
      <w:r>
        <w:instrText xml:space="preserve">SEQ Table \* ARABIC </w:instrText>
      </w:r>
      <w:r>
        <w:fldChar w:fldCharType="separate"/>
      </w:r>
      <w:r>
        <w:t>2</w:t>
      </w:r>
      <w:r>
        <w:fldChar w:fldCharType="end"/>
      </w:r>
      <w:bookmarkEnd w:id="7"/>
      <w:r>
        <w:t>: Terms of the model and the part of output growth each captures</w:t>
      </w:r>
    </w:p>
    <w:tbl>
      <w:tblPr>
        <w:tblStyle w:val="Table"/>
        <w:tblW w:w="5000" w:type="pct"/>
        <w:tblLayout w:type="fixed"/>
        <w:tblLook w:val="0020" w:firstRow="1" w:lastRow="0" w:firstColumn="0" w:lastColumn="0" w:noHBand="0" w:noVBand="0"/>
        <w:tblCaption w:val="Terms of the model and the part of output growth each captures"/>
      </w:tblPr>
      <w:tblGrid>
        <w:gridCol w:w="1581"/>
        <w:gridCol w:w="5337"/>
        <w:gridCol w:w="2766"/>
      </w:tblGrid>
      <w:tr w:rsidR="00590BD8" w14:paraId="085281F6" w14:textId="77777777" w:rsidTr="00590BD8">
        <w:trPr>
          <w:cnfStyle w:val="100000000000" w:firstRow="1" w:lastRow="0" w:firstColumn="0" w:lastColumn="0" w:oddVBand="0" w:evenVBand="0" w:oddHBand="0" w:evenHBand="0" w:firstRowFirstColumn="0" w:firstRowLastColumn="0" w:lastRowFirstColumn="0" w:lastRowLastColumn="0"/>
          <w:tblHeader/>
        </w:trPr>
        <w:tc>
          <w:tcPr>
            <w:tcW w:w="1293" w:type="dxa"/>
          </w:tcPr>
          <w:p w14:paraId="0465D43D" w14:textId="77777777" w:rsidR="00590BD8" w:rsidRDefault="00000000">
            <w:pPr>
              <w:pStyle w:val="Compact"/>
              <w:jc w:val="left"/>
            </w:pPr>
            <w:r>
              <w:t>Term</w:t>
            </w:r>
          </w:p>
        </w:tc>
        <w:tc>
          <w:tcPr>
            <w:tcW w:w="4364" w:type="dxa"/>
          </w:tcPr>
          <w:p w14:paraId="518BCD2D" w14:textId="77777777" w:rsidR="00590BD8" w:rsidRDefault="00000000">
            <w:pPr>
              <w:pStyle w:val="Compact"/>
              <w:jc w:val="left"/>
            </w:pPr>
            <w:r>
              <w:t>Meaning</w:t>
            </w:r>
          </w:p>
        </w:tc>
        <w:tc>
          <w:tcPr>
            <w:tcW w:w="2262" w:type="dxa"/>
          </w:tcPr>
          <w:p w14:paraId="7B4B06D8" w14:textId="77777777" w:rsidR="00590BD8" w:rsidRDefault="00000000">
            <w:pPr>
              <w:pStyle w:val="Compact"/>
              <w:jc w:val="left"/>
            </w:pPr>
            <w:r>
              <w:t>Part of output growth</w:t>
            </w:r>
          </w:p>
        </w:tc>
      </w:tr>
      <w:tr w:rsidR="00590BD8" w14:paraId="79FA0D5A" w14:textId="77777777">
        <w:tc>
          <w:tcPr>
            <w:tcW w:w="1293" w:type="dxa"/>
          </w:tcPr>
          <w:p w14:paraId="605066A6" w14:textId="77777777" w:rsidR="00590BD8" w:rsidRDefault="00000000">
            <w:pPr>
              <w:pStyle w:val="Compact"/>
              <w:jc w:val="left"/>
            </w:pPr>
            <m:oMathPara>
              <m:oMath>
                <m:r>
                  <m:rPr>
                    <m:nor/>
                  </m:rPr>
                  <m:t>E</m:t>
                </m:r>
                <m:r>
                  <m:rPr>
                    <m:sty m:val="p"/>
                  </m:rPr>
                  <w:rPr>
                    <w:rFonts w:ascii="Cambria Math" w:hAnsi="Cambria Math"/>
                  </w:rPr>
                  <m:t>[</m:t>
                </m:r>
                <m:sSub>
                  <m:sSubPr>
                    <m:ctrlPr>
                      <w:rPr>
                        <w:rFonts w:ascii="Cambria Math" w:hAnsi="Cambria Math"/>
                      </w:rPr>
                    </m:ctrlPr>
                  </m:sSubPr>
                  <m:e>
                    <m:r>
                      <m:rPr>
                        <m:nor/>
                      </m:rPr>
                      <m:t>Papers</m:t>
                    </m:r>
                  </m:e>
                  <m:sub>
                    <m:r>
                      <w:rPr>
                        <w:rFonts w:ascii="Cambria Math" w:hAnsi="Cambria Math"/>
                      </w:rPr>
                      <m:t>it</m:t>
                    </m:r>
                  </m:sub>
                </m:sSub>
                <m:r>
                  <m:rPr>
                    <m:sty m:val="p"/>
                  </m:rPr>
                  <w:rPr>
                    <w:rFonts w:ascii="Cambria Math" w:hAnsi="Cambria Math"/>
                  </w:rPr>
                  <m:t>]</m:t>
                </m:r>
              </m:oMath>
            </m:oMathPara>
          </w:p>
        </w:tc>
        <w:tc>
          <w:tcPr>
            <w:tcW w:w="4364" w:type="dxa"/>
          </w:tcPr>
          <w:p w14:paraId="077ED58F" w14:textId="77777777" w:rsidR="00590BD8" w:rsidRDefault="00000000">
            <w:pPr>
              <w:pStyle w:val="Compact"/>
              <w:jc w:val="left"/>
            </w:pPr>
            <w:r>
              <w:t xml:space="preserve">Expected number of new SSRN working papers posted by scholar </w:t>
            </w:r>
            <m:oMath>
              <m:r>
                <w:rPr>
                  <w:rFonts w:ascii="Cambria Math" w:hAnsi="Cambria Math"/>
                </w:rPr>
                <m:t>i</m:t>
              </m:r>
            </m:oMath>
            <w:r>
              <w:t xml:space="preserve"> in quarter </w:t>
            </w:r>
            <m:oMath>
              <m:r>
                <w:rPr>
                  <w:rFonts w:ascii="Cambria Math" w:hAnsi="Cambria Math"/>
                </w:rPr>
                <m:t>t</m:t>
              </m:r>
            </m:oMath>
          </w:p>
        </w:tc>
        <w:tc>
          <w:tcPr>
            <w:tcW w:w="2262" w:type="dxa"/>
          </w:tcPr>
          <w:p w14:paraId="27D38DF7" w14:textId="77777777" w:rsidR="00590BD8" w:rsidRDefault="00000000">
            <w:pPr>
              <w:pStyle w:val="Compact"/>
              <w:jc w:val="left"/>
            </w:pPr>
            <w:r>
              <w:t>Total output, which the model decomposes</w:t>
            </w:r>
          </w:p>
        </w:tc>
      </w:tr>
      <w:tr w:rsidR="00590BD8" w14:paraId="5ED46965" w14:textId="77777777">
        <w:tc>
          <w:tcPr>
            <w:tcW w:w="1293" w:type="dxa"/>
          </w:tcPr>
          <w:p w14:paraId="08DF209F" w14:textId="77777777" w:rsidR="00590BD8" w:rsidRDefault="00000000">
            <w:pPr>
              <w:pStyle w:val="Compact"/>
              <w:jc w:val="left"/>
            </w:pPr>
            <m:oMathPara>
              <m:oMath>
                <m:r>
                  <m:rPr>
                    <m:sty m:val="p"/>
                  </m:rPr>
                  <w:rPr>
                    <w:rFonts w:ascii="Cambria Math" w:hAnsi="Cambria Math"/>
                  </w:rPr>
                  <m:t>exp(⋅)</m:t>
                </m:r>
              </m:oMath>
            </m:oMathPara>
          </w:p>
        </w:tc>
        <w:tc>
          <w:tcPr>
            <w:tcW w:w="4364" w:type="dxa"/>
          </w:tcPr>
          <w:p w14:paraId="72F32F07" w14:textId="77777777" w:rsidR="00590BD8" w:rsidRDefault="00000000">
            <w:pPr>
              <w:pStyle w:val="Compact"/>
              <w:jc w:val="left"/>
            </w:pPr>
            <w:r>
              <w:t>Exponential function. The model is a Poisson regression for counts, so each coefficient reads approximately as a percentage change in expected output</w:t>
            </w:r>
          </w:p>
        </w:tc>
        <w:tc>
          <w:tcPr>
            <w:tcW w:w="2262" w:type="dxa"/>
          </w:tcPr>
          <w:p w14:paraId="76601361" w14:textId="77777777" w:rsidR="00590BD8" w:rsidRDefault="00000000">
            <w:pPr>
              <w:pStyle w:val="Compact"/>
              <w:jc w:val="left"/>
            </w:pPr>
            <w:r>
              <w:t>Functional form</w:t>
            </w:r>
          </w:p>
        </w:tc>
      </w:tr>
      <w:tr w:rsidR="00590BD8" w14:paraId="77DECD77" w14:textId="77777777">
        <w:tc>
          <w:tcPr>
            <w:tcW w:w="1293" w:type="dxa"/>
          </w:tcPr>
          <w:p w14:paraId="15DC3CF5" w14:textId="77777777" w:rsidR="00590BD8" w:rsidRDefault="00000000">
            <w:pPr>
              <w:pStyle w:val="Compact"/>
              <w:jc w:val="left"/>
            </w:pPr>
            <m:oMathPara>
              <m:oMath>
                <m:sSub>
                  <m:sSubPr>
                    <m:ctrlPr>
                      <w:rPr>
                        <w:rFonts w:ascii="Cambria Math" w:hAnsi="Cambria Math"/>
                      </w:rPr>
                    </m:ctrlPr>
                  </m:sSubPr>
                  <m:e>
                    <m:r>
                      <w:rPr>
                        <w:rFonts w:ascii="Cambria Math" w:hAnsi="Cambria Math"/>
                      </w:rPr>
                      <m:t>α</m:t>
                    </m:r>
                  </m:e>
                  <m:sub>
                    <m:r>
                      <w:rPr>
                        <w:rFonts w:ascii="Cambria Math" w:hAnsi="Cambria Math"/>
                      </w:rPr>
                      <m:t>i</m:t>
                    </m:r>
                  </m:sub>
                </m:sSub>
              </m:oMath>
            </m:oMathPara>
          </w:p>
        </w:tc>
        <w:tc>
          <w:tcPr>
            <w:tcW w:w="4364" w:type="dxa"/>
          </w:tcPr>
          <w:p w14:paraId="3D1B40BF" w14:textId="77777777" w:rsidR="00590BD8" w:rsidRDefault="00000000">
            <w:pPr>
              <w:pStyle w:val="Compact"/>
              <w:jc w:val="left"/>
            </w:pPr>
            <w:r>
              <w:t>Scholar fixed effect: the scholar’s baseline output</w:t>
            </w:r>
          </w:p>
        </w:tc>
        <w:tc>
          <w:tcPr>
            <w:tcW w:w="2262" w:type="dxa"/>
          </w:tcPr>
          <w:p w14:paraId="598FACA3" w14:textId="77777777" w:rsidR="00590BD8" w:rsidRDefault="00000000">
            <w:pPr>
              <w:pStyle w:val="Compact"/>
              <w:jc w:val="left"/>
            </w:pPr>
            <w:r>
              <w:t>Baseline differences between scholars</w:t>
            </w:r>
          </w:p>
        </w:tc>
      </w:tr>
      <w:tr w:rsidR="00590BD8" w14:paraId="5E07894F" w14:textId="77777777">
        <w:tc>
          <w:tcPr>
            <w:tcW w:w="1293" w:type="dxa"/>
          </w:tcPr>
          <w:p w14:paraId="397D4FC8" w14:textId="77777777" w:rsidR="00590BD8" w:rsidRDefault="00000000">
            <w:pPr>
              <w:pStyle w:val="Compact"/>
              <w:jc w:val="left"/>
            </w:pPr>
            <m:oMathPara>
              <m:oMath>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sub>
                </m:sSub>
              </m:oMath>
            </m:oMathPara>
          </w:p>
        </w:tc>
        <w:tc>
          <w:tcPr>
            <w:tcW w:w="4364" w:type="dxa"/>
          </w:tcPr>
          <w:p w14:paraId="176A87BF" w14:textId="77777777" w:rsidR="00590BD8" w:rsidRDefault="00000000">
            <w:pPr>
              <w:pStyle w:val="Compact"/>
              <w:jc w:val="left"/>
            </w:pPr>
            <w:r>
              <w:t xml:space="preserve">Effect of career stage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oMath>
            <w:r>
              <w:t>, the years since the scholar’s first publication</w:t>
            </w:r>
          </w:p>
        </w:tc>
        <w:tc>
          <w:tcPr>
            <w:tcW w:w="2262" w:type="dxa"/>
          </w:tcPr>
          <w:p w14:paraId="6CE666ED" w14:textId="77777777" w:rsidR="00590BD8" w:rsidRDefault="00000000">
            <w:pPr>
              <w:pStyle w:val="Compact"/>
              <w:jc w:val="left"/>
            </w:pPr>
            <w:r>
              <w:t>Personal growth</w:t>
            </w:r>
          </w:p>
        </w:tc>
      </w:tr>
      <w:tr w:rsidR="00590BD8" w14:paraId="0067167D" w14:textId="77777777">
        <w:tc>
          <w:tcPr>
            <w:tcW w:w="1293" w:type="dxa"/>
          </w:tcPr>
          <w:p w14:paraId="622B753D" w14:textId="77777777" w:rsidR="00590BD8" w:rsidRDefault="00000000">
            <w:pPr>
              <w:pStyle w:val="Compact"/>
              <w:jc w:val="left"/>
            </w:pPr>
            <m:oMathPara>
              <m:oMath>
                <m:sSub>
                  <m:sSubPr>
                    <m:ctrlPr>
                      <w:rPr>
                        <w:rFonts w:ascii="Cambria Math" w:hAnsi="Cambria Math"/>
                      </w:rPr>
                    </m:ctrlPr>
                  </m:sSubPr>
                  <m:e>
                    <m:r>
                      <w:rPr>
                        <w:rFonts w:ascii="Cambria Math" w:hAnsi="Cambria Math"/>
                      </w:rPr>
                      <m:t>τ</m:t>
                    </m:r>
                  </m:e>
                  <m:sub>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m:oMathPara>
          </w:p>
        </w:tc>
        <w:tc>
          <w:tcPr>
            <w:tcW w:w="4364" w:type="dxa"/>
          </w:tcPr>
          <w:p w14:paraId="383D8153" w14:textId="77777777" w:rsidR="00590BD8" w:rsidRDefault="00000000">
            <w:pPr>
              <w:pStyle w:val="Compact"/>
              <w:jc w:val="left"/>
            </w:pPr>
            <w:r>
              <w:t xml:space="preserve">Quarter fixed effect for the scholar’s field </w:t>
            </w:r>
            <m:oMath>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oMath>
            <w:r>
              <w:t>, finance or accounting (the field of most of their 2018–2021 papers): anything that shifts all scholars in the field at once, such as SSRN’s own growth, COVID or changes in SSRN’s screening</w:t>
            </w:r>
          </w:p>
        </w:tc>
        <w:tc>
          <w:tcPr>
            <w:tcW w:w="2262" w:type="dxa"/>
          </w:tcPr>
          <w:p w14:paraId="2A9710AA" w14:textId="77777777" w:rsidR="00590BD8" w:rsidRDefault="00000000">
            <w:pPr>
              <w:pStyle w:val="Compact"/>
              <w:jc w:val="left"/>
            </w:pPr>
            <w:r>
              <w:t>Common trends, including SSRN’s own growth</w:t>
            </w:r>
          </w:p>
        </w:tc>
      </w:tr>
      <w:tr w:rsidR="00590BD8" w14:paraId="05AEE342" w14:textId="77777777">
        <w:tc>
          <w:tcPr>
            <w:tcW w:w="1293" w:type="dxa"/>
          </w:tcPr>
          <w:p w14:paraId="0DD66CE4" w14:textId="77777777" w:rsidR="00590BD8" w:rsidRDefault="00000000">
            <w:pPr>
              <w:pStyle w:val="Compact"/>
              <w:jc w:val="left"/>
            </w:pPr>
            <m:oMathPara>
              <m:oMath>
                <m:sSub>
                  <m:sSubPr>
                    <m:ctrlPr>
                      <w:rPr>
                        <w:rFonts w:ascii="Cambria Math" w:hAnsi="Cambria Math"/>
                      </w:rPr>
                    </m:ctrlPr>
                  </m:sSubPr>
                  <m:e>
                    <m:r>
                      <w:rPr>
                        <w:rFonts w:ascii="Cambria Math" w:hAnsi="Cambria Math"/>
                      </w:rPr>
                      <m:t>β</m:t>
                    </m:r>
                  </m:e>
                  <m:sub>
                    <m:r>
                      <w:rPr>
                        <w:rFonts w:ascii="Cambria Math" w:hAnsi="Cambria Math"/>
                      </w:rPr>
                      <m:t>km</m:t>
                    </m:r>
                  </m:sub>
                </m:sSub>
              </m:oMath>
            </m:oMathPara>
          </w:p>
        </w:tc>
        <w:tc>
          <w:tcPr>
            <w:tcW w:w="4364" w:type="dxa"/>
          </w:tcPr>
          <w:p w14:paraId="761C1223" w14:textId="77777777" w:rsidR="00590BD8" w:rsidRDefault="00000000">
            <w:pPr>
              <w:pStyle w:val="Compact"/>
              <w:jc w:val="left"/>
            </w:pPr>
            <w:r>
              <w:t xml:space="preserve">Coefficient on </w:t>
            </w:r>
            <m:oMath>
              <m:sSub>
                <m:sSubPr>
                  <m:ctrlPr>
                    <w:rPr>
                      <w:rFonts w:ascii="Cambria Math" w:hAnsi="Cambria Math"/>
                    </w:rPr>
                  </m:ctrlPr>
                </m:sSubPr>
                <m:e>
                  <m:r>
                    <m:rPr>
                      <m:nor/>
                    </m:rPr>
                    <m:t>Release</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nor/>
                    </m:rPr>
                    <m:t>Share</m:t>
                  </m:r>
                </m:e>
                <m:sub>
                  <m:r>
                    <w:rPr>
                      <w:rFonts w:ascii="Cambria Math" w:hAnsi="Cambria Math"/>
                    </w:rPr>
                    <m:t>im</m:t>
                  </m:r>
                </m:sub>
              </m:sSub>
            </m:oMath>
            <w:r>
              <w:t xml:space="preserve">, summed over release types </w:t>
            </w:r>
            <m:oMath>
              <m:r>
                <w:rPr>
                  <w:rFonts w:ascii="Cambria Math" w:hAnsi="Cambria Math"/>
                </w:rPr>
                <m:t>k</m:t>
              </m:r>
            </m:oMath>
            <w:r>
              <w:t xml:space="preserve"> and methods </w:t>
            </w:r>
            <m:oMath>
              <m:r>
                <w:rPr>
                  <w:rFonts w:ascii="Cambria Math" w:hAnsi="Cambria Math"/>
                </w:rPr>
                <m:t>m</m:t>
              </m:r>
            </m:oMath>
            <w:r>
              <w:t xml:space="preserve">: the change in output after release </w:t>
            </w:r>
            <m:oMath>
              <m:r>
                <w:rPr>
                  <w:rFonts w:ascii="Cambria Math" w:hAnsi="Cambria Math"/>
                </w:rPr>
                <m:t>k</m:t>
              </m:r>
            </m:oMath>
            <w:r>
              <w:t xml:space="preserve"> for a scholar whose earlier papers all used method </w:t>
            </w:r>
            <m:oMath>
              <m:r>
                <w:rPr>
                  <w:rFonts w:ascii="Cambria Math" w:hAnsi="Cambria Math"/>
                </w:rPr>
                <m:t>m</m:t>
              </m:r>
            </m:oMath>
            <w:r>
              <w:t>, relative to a reference method (the choice of reference does not affect differences between methods)</w:t>
            </w:r>
          </w:p>
        </w:tc>
        <w:tc>
          <w:tcPr>
            <w:tcW w:w="2262" w:type="dxa"/>
          </w:tcPr>
          <w:p w14:paraId="2DF0B079" w14:textId="77777777" w:rsidR="00590BD8" w:rsidRDefault="00000000">
            <w:pPr>
              <w:pStyle w:val="Compact"/>
              <w:jc w:val="left"/>
            </w:pPr>
            <w:r>
              <w:t>Productivity due to AI, by method and release type</w:t>
            </w:r>
          </w:p>
        </w:tc>
      </w:tr>
      <w:tr w:rsidR="00590BD8" w14:paraId="30E1FC2E" w14:textId="77777777">
        <w:tc>
          <w:tcPr>
            <w:tcW w:w="1293" w:type="dxa"/>
          </w:tcPr>
          <w:p w14:paraId="21511187" w14:textId="77777777" w:rsidR="00590BD8" w:rsidRDefault="00000000">
            <w:pPr>
              <w:pStyle w:val="Compact"/>
              <w:jc w:val="left"/>
            </w:pPr>
            <m:oMathPara>
              <m:oMath>
                <m:sSub>
                  <m:sSubPr>
                    <m:ctrlPr>
                      <w:rPr>
                        <w:rFonts w:ascii="Cambria Math" w:hAnsi="Cambria Math"/>
                      </w:rPr>
                    </m:ctrlPr>
                  </m:sSubPr>
                  <m:e>
                    <m:r>
                      <m:rPr>
                        <m:nor/>
                      </m:rPr>
                      <m:t>Release</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4364" w:type="dxa"/>
          </w:tcPr>
          <w:p w14:paraId="3E1A2483" w14:textId="77777777" w:rsidR="00590BD8" w:rsidRDefault="00000000">
            <w:pPr>
              <w:pStyle w:val="Compact"/>
              <w:jc w:val="left"/>
            </w:pPr>
            <w:r>
              <w:t xml:space="preserve">Equals one from the quarter in which release type </w:t>
            </w:r>
            <m:oMath>
              <m:r>
                <w:rPr>
                  <w:rFonts w:ascii="Cambria Math" w:hAnsi="Cambria Math"/>
                </w:rPr>
                <m:t>k</m:t>
              </m:r>
            </m:oMath>
            <w:r>
              <w:t xml:space="preserve"> is available: writing (ChatGPT, November 2022); coding (ChatGPT Code Interpreter, July 2023; agentic tools such as Claude Code, February to May 2025); reasoning (from late 2024; dates to be confirmed)</w:t>
            </w:r>
          </w:p>
        </w:tc>
        <w:tc>
          <w:tcPr>
            <w:tcW w:w="2262" w:type="dxa"/>
          </w:tcPr>
          <w:p w14:paraId="0BF77F79" w14:textId="77777777" w:rsidR="00590BD8" w:rsidRDefault="00000000">
            <w:pPr>
              <w:pStyle w:val="Compact"/>
              <w:jc w:val="left"/>
            </w:pPr>
            <w:r>
              <w:t>Growth in AI capability</w:t>
            </w:r>
          </w:p>
        </w:tc>
      </w:tr>
      <w:tr w:rsidR="00590BD8" w14:paraId="6C8EDAC4" w14:textId="77777777">
        <w:tc>
          <w:tcPr>
            <w:tcW w:w="1293" w:type="dxa"/>
          </w:tcPr>
          <w:p w14:paraId="68944587" w14:textId="77777777" w:rsidR="00590BD8" w:rsidRDefault="00000000">
            <w:pPr>
              <w:pStyle w:val="Compact"/>
              <w:jc w:val="left"/>
            </w:pPr>
            <m:oMathPara>
              <m:oMath>
                <m:sSub>
                  <m:sSubPr>
                    <m:ctrlPr>
                      <w:rPr>
                        <w:rFonts w:ascii="Cambria Math" w:hAnsi="Cambria Math"/>
                      </w:rPr>
                    </m:ctrlPr>
                  </m:sSubPr>
                  <m:e>
                    <m:r>
                      <m:rPr>
                        <m:nor/>
                      </m:rPr>
                      <m:t>Share</m:t>
                    </m:r>
                  </m:e>
                  <m:sub>
                    <m:r>
                      <w:rPr>
                        <w:rFonts w:ascii="Cambria Math" w:hAnsi="Cambria Math"/>
                      </w:rPr>
                      <m:t>im</m:t>
                    </m:r>
                  </m:sub>
                </m:sSub>
              </m:oMath>
            </m:oMathPara>
          </w:p>
        </w:tc>
        <w:tc>
          <w:tcPr>
            <w:tcW w:w="4364" w:type="dxa"/>
          </w:tcPr>
          <w:p w14:paraId="1B3C3D90" w14:textId="77777777" w:rsidR="00590BD8" w:rsidRDefault="00000000">
            <w:pPr>
              <w:pStyle w:val="Compact"/>
              <w:jc w:val="left"/>
            </w:pPr>
            <w:r>
              <w:t xml:space="preserve">Share of scholar </w:t>
            </w:r>
            <m:oMath>
              <m:r>
                <w:rPr>
                  <w:rFonts w:ascii="Cambria Math" w:hAnsi="Cambria Math"/>
                </w:rPr>
                <m:t>i</m:t>
              </m:r>
            </m:oMath>
            <w:r>
              <w:t xml:space="preserve">’s 2018–2021 papers that use method </w:t>
            </w:r>
            <m:oMath>
              <m:r>
                <w:rPr>
                  <w:rFonts w:ascii="Cambria Math" w:hAnsi="Cambria Math"/>
                </w:rPr>
                <m:t>m</m:t>
              </m:r>
            </m:oMath>
            <w:r>
              <w:t xml:space="preserve"> (Table 1), with multi-method papers split equally; fixed before ChatGPT, so AI cannot have shaped it</w:t>
            </w:r>
          </w:p>
        </w:tc>
        <w:tc>
          <w:tcPr>
            <w:tcW w:w="2262" w:type="dxa"/>
          </w:tcPr>
          <w:p w14:paraId="711277E7" w14:textId="77777777" w:rsidR="00590BD8" w:rsidRDefault="00000000">
            <w:pPr>
              <w:pStyle w:val="Compact"/>
              <w:jc w:val="left"/>
            </w:pPr>
            <w:r>
              <w:t>The scholar’s exposure, through the methods they already use</w:t>
            </w:r>
          </w:p>
        </w:tc>
      </w:tr>
      <w:tr w:rsidR="00590BD8" w14:paraId="59144637" w14:textId="77777777">
        <w:tc>
          <w:tcPr>
            <w:tcW w:w="1293" w:type="dxa"/>
          </w:tcPr>
          <w:p w14:paraId="3F6B892A" w14:textId="77777777" w:rsidR="00590BD8" w:rsidRDefault="00000000">
            <w:pPr>
              <w:pStyle w:val="Compact"/>
              <w:jc w:val="left"/>
            </w:pPr>
            <w:r>
              <w:t>Not in the equation</w:t>
            </w:r>
          </w:p>
        </w:tc>
        <w:tc>
          <w:tcPr>
            <w:tcW w:w="4364" w:type="dxa"/>
          </w:tcPr>
          <w:p w14:paraId="1B79E2C2" w14:textId="77777777" w:rsidR="00590BD8" w:rsidRDefault="00000000">
            <w:pPr>
              <w:pStyle w:val="Compact"/>
              <w:jc w:val="left"/>
            </w:pPr>
            <w:r>
              <w:t>Share of abstracts in each method and quarter with AI-style vocabulary</w:t>
            </w:r>
          </w:p>
        </w:tc>
        <w:tc>
          <w:tcPr>
            <w:tcW w:w="2262" w:type="dxa"/>
          </w:tcPr>
          <w:p w14:paraId="2DFCDF6E" w14:textId="77777777" w:rsidR="00590BD8" w:rsidRDefault="00000000">
            <w:pPr>
              <w:pStyle w:val="Compact"/>
              <w:jc w:val="left"/>
            </w:pPr>
            <w:r>
              <w:t>AI use, measured separately (first stage, below)</w:t>
            </w:r>
          </w:p>
        </w:tc>
      </w:tr>
    </w:tbl>
    <w:p w14:paraId="79D6A237" w14:textId="77777777" w:rsidR="00590BD8" w:rsidRDefault="00000000">
      <w:pPr>
        <w:pStyle w:val="BodyText"/>
      </w:pPr>
      <w:r>
        <w:lastRenderedPageBreak/>
        <w:t xml:space="preserve">The model does not assume which methods a release can automate: the estimated </w:t>
      </w:r>
      <m:oMath>
        <m:sSub>
          <m:sSubPr>
            <m:ctrlPr>
              <w:rPr>
                <w:rFonts w:ascii="Cambria Math" w:hAnsi="Cambria Math"/>
              </w:rPr>
            </m:ctrlPr>
          </m:sSubPr>
          <m:e>
            <m:r>
              <w:rPr>
                <w:rFonts w:ascii="Cambria Math" w:hAnsi="Cambria Math"/>
              </w:rPr>
              <m:t>β</m:t>
            </m:r>
          </m:e>
          <m:sub>
            <m:r>
              <w:rPr>
                <w:rFonts w:ascii="Cambria Math" w:hAnsi="Cambria Math"/>
              </w:rPr>
              <m:t>km</m:t>
            </m:r>
          </m:sub>
        </m:sSub>
      </m:oMath>
      <w:r>
        <w:t xml:space="preserve"> show it. Summing </w:t>
      </w:r>
      <m:oMath>
        <m:sSub>
          <m:sSubPr>
            <m:ctrlPr>
              <w:rPr>
                <w:rFonts w:ascii="Cambria Math" w:hAnsi="Cambria Math"/>
              </w:rPr>
            </m:ctrlPr>
          </m:sSubPr>
          <m:e>
            <m:r>
              <w:rPr>
                <w:rFonts w:ascii="Cambria Math" w:hAnsi="Cambria Math"/>
              </w:rPr>
              <m:t>β</m:t>
            </m:r>
          </m:e>
          <m:sub>
            <m:r>
              <w:rPr>
                <w:rFonts w:ascii="Cambria Math" w:hAnsi="Cambria Math"/>
              </w:rPr>
              <m:t>km</m:t>
            </m:r>
          </m:sub>
        </m:sSub>
        <m:r>
          <m:rPr>
            <m:sty m:val="p"/>
          </m:rPr>
          <w:rPr>
            <w:rFonts w:ascii="Cambria Math" w:hAnsi="Cambria Math"/>
          </w:rPr>
          <m:t>×</m:t>
        </m:r>
        <m:sSub>
          <m:sSubPr>
            <m:ctrlPr>
              <w:rPr>
                <w:rFonts w:ascii="Cambria Math" w:hAnsi="Cambria Math"/>
              </w:rPr>
            </m:ctrlPr>
          </m:sSubPr>
          <m:e>
            <m:r>
              <m:rPr>
                <m:nor/>
              </m:rPr>
              <m:t>Share</m:t>
            </m:r>
          </m:e>
          <m:sub>
            <m:r>
              <w:rPr>
                <w:rFonts w:ascii="Cambria Math" w:hAnsi="Cambria Math"/>
              </w:rPr>
              <m:t>im</m:t>
            </m:r>
          </m:sub>
        </m:sSub>
      </m:oMath>
      <w:r>
        <w:t xml:space="preserve"> over methods and over the releases available in a quarter gives a scholar’s AI effect in that quarter; averaging it within a group (for example, accounting scholars who do archival work) gives the AI part of that group’s output growth.</w:t>
      </w:r>
    </w:p>
    <w:p w14:paraId="3A1A09F2" w14:textId="77777777" w:rsidR="00590BD8" w:rsidRDefault="00000000">
      <w:pPr>
        <w:pStyle w:val="BodyText"/>
      </w:pPr>
      <w:r>
        <w:rPr>
          <w:b/>
          <w:bCs/>
        </w:rPr>
        <w:t>SSRN’s own growth.</w:t>
      </w:r>
      <w:r>
        <w:t xml:space="preserve"> SSRN also grows for reasons unrelated to AI, and the model handles this in three ways. The quarter effects for each field absorb growth common to all scholars in finance or in accounting. New users and new fields do not enter, because the sample is a fixed panel of scholars already posting in 2018–2021; this matters because SSRN postings doubled from 2021 to 2022, and by 2024 its two largest subfields were electrical and mechanical engineering, ahead of economics and finance (author’s tabulation of OpenAlex records). The remaining risk is that established scholars change how often they post their papers on SSRN, and differently by method: if theorists began posting every paper in 2024 instead of half of them, their SSRN output would double without any extra research. I measure this posting rate directly, as the share of each field’s and method’s journal articles that also appear on SSRN, by year, and add it as a control if it changes over time.</w:t>
      </w:r>
    </w:p>
    <w:p w14:paraId="13FC6D65" w14:textId="77777777" w:rsidR="00590BD8" w:rsidRDefault="00000000">
      <w:pPr>
        <w:pStyle w:val="BodyText"/>
      </w:pPr>
      <w:r>
        <w:t>The hypotheses follow the task-based view of AI exposure (Felten, Raj &amp; Seamans 2021; Eloundou, Manning, Mishkin &amp; Rock 2024): a method gains from a release when the release can do the tasks the method relies on.</w:t>
      </w:r>
    </w:p>
    <w:p w14:paraId="55FD856B" w14:textId="77777777" w:rsidR="00590BD8" w:rsidRDefault="00000000">
      <w:pPr>
        <w:pStyle w:val="Compact"/>
        <w:numPr>
          <w:ilvl w:val="0"/>
          <w:numId w:val="3"/>
        </w:numPr>
      </w:pPr>
      <w:r>
        <w:rPr>
          <w:b/>
          <w:bCs/>
        </w:rPr>
        <w:t>H1.</w:t>
      </w:r>
      <w:r>
        <w:t xml:space="preserve"> After the writing-type release, output rises most in review and commentary, where writing is most of the work; after coding-type releases, it rises most in archival work with standard databases or text, where coding and data handling dominate.</w:t>
      </w:r>
    </w:p>
    <w:p w14:paraId="79F44FE1" w14:textId="77777777" w:rsidR="00590BD8" w:rsidRDefault="00000000">
      <w:pPr>
        <w:pStyle w:val="Compact"/>
        <w:numPr>
          <w:ilvl w:val="0"/>
          <w:numId w:val="3"/>
        </w:numPr>
      </w:pPr>
      <w:r>
        <w:rPr>
          <w:b/>
          <w:bCs/>
        </w:rPr>
        <w:t>H2.</w:t>
      </w:r>
      <w:r>
        <w:t xml:space="preserve"> Theory gains only after reasoning-type releases (late 2024 onward), not in 2023, matching the 2026 surge in mathematics once reasoning models could handle verifiable derivations (Nee, Zhong &amp; Ni 2026). No common trend predicts this timing.</w:t>
      </w:r>
    </w:p>
    <w:p w14:paraId="2CA96E2A" w14:textId="77777777" w:rsidR="00590BD8" w:rsidRDefault="00000000">
      <w:pPr>
        <w:pStyle w:val="Compact"/>
        <w:numPr>
          <w:ilvl w:val="0"/>
          <w:numId w:val="3"/>
        </w:numPr>
      </w:pPr>
      <w:r>
        <w:rPr>
          <w:b/>
          <w:bCs/>
        </w:rPr>
        <w:t>H3.</w:t>
      </w:r>
      <w:r>
        <w:t xml:space="preserve"> Experiments, surveys and field studies, which need new data from people, and hand-collected archival work change least.</w:t>
      </w:r>
    </w:p>
    <w:p w14:paraId="7AF40BA9" w14:textId="77777777" w:rsidR="00590BD8" w:rsidRDefault="00000000">
      <w:pPr>
        <w:pStyle w:val="Compact"/>
        <w:numPr>
          <w:ilvl w:val="0"/>
          <w:numId w:val="3"/>
        </w:numPr>
      </w:pPr>
      <w:r>
        <w:rPr>
          <w:b/>
          <w:bCs/>
        </w:rPr>
        <w:t>H4.</w:t>
      </w:r>
      <w:r>
        <w:t xml:space="preserve"> Gains differ by career stage and incentives (pre-tenure vs tenured; count-based evaluation such as ABDC-list targets) and by resources (elite vs non-elite schools, solo authors vs teams with PhD students, international collaboration). Gardner et al. (2026) find that junior authors and authors at less research-intensive institutions use more AI-associated words.</w:t>
      </w:r>
    </w:p>
    <w:p w14:paraId="7F703A64" w14:textId="77777777" w:rsidR="00590BD8" w:rsidRDefault="00000000">
      <w:pPr>
        <w:pStyle w:val="FirstParagraph"/>
      </w:pPr>
      <w:r>
        <w:rPr>
          <w:b/>
          <w:bCs/>
        </w:rPr>
        <w:t>The role of AI use (the first stage).</w:t>
      </w:r>
      <w:r>
        <w:t xml:space="preserve"> AI use is measured for each method and quarter as the share of abstracts with AI-style vocabulary (Gardner et al.’s 13-word list, validated on papers in American Accounting Association journals that disclose AI use). It is neither the treatment nor the main outcome: using a scholar’s own AI words to date when they started using AI would repeat the problem Renault et al. (2026) identify, because those words can only be seen in papers the scholar posts. AI use has three roles. First, it is the first stage of the design: release dates and method mixes should predict where AI use rises, and output gains in a method without a matching rise in AI use would point to another cause. Second, it supplies the AI-use part of the decomposition: dividing a release’s output effect by the rise in AI use it brings (a Wald ratio) gives the output gain per unit of AI use. Third, it shows who adopts AI, which supports the heterogeneity tests (H4). Text measures capture AI-assisted writing, not coding or reasoning, so the ratio is computed for the writing release only, and output can rise after coding releases without more AI-style words.</w:t>
      </w:r>
    </w:p>
    <w:p w14:paraId="0F7D1308" w14:textId="77777777" w:rsidR="00590BD8" w:rsidRDefault="00000000">
      <w:pPr>
        <w:pStyle w:val="Heading1"/>
      </w:pPr>
      <w:bookmarkStart w:id="8" w:name="f-data"/>
      <w:bookmarkEnd w:id="5"/>
      <w:r>
        <w:t>(F) Data</w:t>
      </w:r>
    </w:p>
    <w:p w14:paraId="4C4FC165" w14:textId="77777777" w:rsidR="00590BD8" w:rsidRDefault="00000000">
      <w:pPr>
        <w:pStyle w:val="Compact"/>
        <w:numPr>
          <w:ilvl w:val="0"/>
          <w:numId w:val="4"/>
        </w:numPr>
      </w:pPr>
      <w:r>
        <w:rPr>
          <w:b/>
          <w:bCs/>
        </w:rPr>
        <w:t>Working papers.</w:t>
      </w:r>
      <w:r>
        <w:t xml:space="preserve"> SSRN finance and accounting papers via OpenAlex (Priem, Piwowar &amp; Orr 2022), which provides author identifiers, ORCID (on 92% of 2024 SSRN works), institutions, citations and links to journal versions, and via Crossref (posting dates; the complete list of SSRN DOIs). SSRN’s terms prohibit automated queries, so the project does not scrape SSRN. </w:t>
      </w:r>
      <w:r>
        <w:lastRenderedPageBreak/>
        <w:t>Because OpenAlex can file a later-published SSRN paper under its journal, the sample is drawn from works with any SSRN location, cross-checked against Crossref.</w:t>
      </w:r>
    </w:p>
    <w:p w14:paraId="2ABB0EF8" w14:textId="77777777" w:rsidR="00590BD8" w:rsidRDefault="00000000">
      <w:pPr>
        <w:pStyle w:val="Compact"/>
        <w:numPr>
          <w:ilvl w:val="0"/>
          <w:numId w:val="4"/>
        </w:numPr>
      </w:pPr>
      <w:r>
        <w:rPr>
          <w:b/>
          <w:bCs/>
        </w:rPr>
        <w:t>Abstracts.</w:t>
      </w:r>
      <w:r>
        <w:t xml:space="preserve"> Free Crossref abstracts cover about half of SSRN finance and accounting papers in 2021–2024 and about 90% in 2026, but only 17–34% in 2025. Abstracts are copyrighted, so they feed computed measures only and are never redistributed; the Scopus API or an ICSR Lab project provides licensed coverage, including 2025.</w:t>
      </w:r>
    </w:p>
    <w:p w14:paraId="6539FA50" w14:textId="77777777" w:rsidR="00590BD8" w:rsidRDefault="00000000">
      <w:pPr>
        <w:pStyle w:val="Compact"/>
        <w:numPr>
          <w:ilvl w:val="0"/>
          <w:numId w:val="4"/>
        </w:numPr>
      </w:pPr>
      <w:r>
        <w:rPr>
          <w:b/>
          <w:bCs/>
        </w:rPr>
        <w:t>Sample.</w:t>
      </w:r>
      <w:r>
        <w:t xml:space="preserve"> Academic authors with at least two finance or accounting SSRN papers in 2018–2021 (selected on pre-period activity only), observed 2018Q1–2026Q3; practitioner authors (central banks, asset managers, audit firms) as a robustness group; journal-submission preprint pipelines flagged.</w:t>
      </w:r>
    </w:p>
    <w:p w14:paraId="7C44AE11" w14:textId="77777777" w:rsidR="00590BD8" w:rsidRDefault="00000000">
      <w:pPr>
        <w:pStyle w:val="Compact"/>
        <w:numPr>
          <w:ilvl w:val="0"/>
          <w:numId w:val="4"/>
        </w:numPr>
      </w:pPr>
      <w:r>
        <w:rPr>
          <w:b/>
          <w:bCs/>
        </w:rPr>
        <w:t>Classification.</w:t>
      </w:r>
      <w:r>
        <w:t xml:space="preserve"> JEL codes where authors report them; otherwise an LLM classifies each 2018–2021 paper by research area and method from its title and abstract, using the categories in Table 1. About 300 papers are hand-coded for validation, with agreement rates reported.</w:t>
      </w:r>
    </w:p>
    <w:p w14:paraId="71D6CEAA" w14:textId="77777777" w:rsidR="00590BD8" w:rsidRDefault="00000000">
      <w:pPr>
        <w:pStyle w:val="Compact"/>
        <w:numPr>
          <w:ilvl w:val="0"/>
          <w:numId w:val="4"/>
        </w:numPr>
      </w:pPr>
      <w:r>
        <w:rPr>
          <w:b/>
          <w:bCs/>
        </w:rPr>
        <w:t>Outcome.</w:t>
      </w:r>
      <w:r>
        <w:t xml:space="preserve"> New SSRN papers per quarter, as full and coauthor-fractional counts; as robustness, new working papers on any platform indexed by OpenAlex (SSRN, NBER, arXiv and others), with duplicates removed.</w:t>
      </w:r>
    </w:p>
    <w:p w14:paraId="58C33FC6" w14:textId="77777777" w:rsidR="00590BD8" w:rsidRDefault="00000000">
      <w:pPr>
        <w:pStyle w:val="Compact"/>
        <w:numPr>
          <w:ilvl w:val="0"/>
          <w:numId w:val="4"/>
        </w:numPr>
      </w:pPr>
      <w:r>
        <w:rPr>
          <w:b/>
          <w:bCs/>
        </w:rPr>
        <w:t>SSRN posting rate.</w:t>
      </w:r>
      <w:r>
        <w:t xml:space="preserve"> Whether each finance and accounting journal article also appears on SSRN, by field, method and year. OpenAlex links only 15–72% of articles in six top journals to their SSRN versions (author’s tabulation, October 2026), so the links come from matching titles and authors, as in the publication analysis.</w:t>
      </w:r>
    </w:p>
    <w:p w14:paraId="55727E0C" w14:textId="77777777" w:rsidR="00590BD8" w:rsidRDefault="00000000">
      <w:pPr>
        <w:pStyle w:val="Compact"/>
        <w:numPr>
          <w:ilvl w:val="0"/>
          <w:numId w:val="4"/>
        </w:numPr>
      </w:pPr>
      <w:r>
        <w:rPr>
          <w:b/>
          <w:bCs/>
        </w:rPr>
        <w:t>Heterogeneity.</w:t>
      </w:r>
      <w:r>
        <w:t xml:space="preserve"> Career age (years since first publication), institution rank (UT Dallas and BYU research rankings), coauthor structure, international collaboration.</w:t>
      </w:r>
    </w:p>
    <w:p w14:paraId="245A7A83" w14:textId="77777777" w:rsidR="00590BD8" w:rsidRDefault="00000000">
      <w:pPr>
        <w:pStyle w:val="Compact"/>
        <w:numPr>
          <w:ilvl w:val="0"/>
          <w:numId w:val="4"/>
        </w:numPr>
      </w:pPr>
      <w:r>
        <w:rPr>
          <w:b/>
          <w:bCs/>
        </w:rPr>
        <w:t>AI use (first stage).</w:t>
      </w:r>
      <w:r>
        <w:t xml:space="preserve"> AI-style vocabulary in abstracts, by method and quarter (Gardner et al.’s 13 words; Kobak et al.’s excess words); the Pangram detector used by Walther &amp; Dutordoir, if licensed; Barrick et al.’s survey shares for accounting faculty as an external benchmark.</w:t>
      </w:r>
    </w:p>
    <w:p w14:paraId="3E1AB980" w14:textId="77777777" w:rsidR="00590BD8" w:rsidRDefault="00000000">
      <w:pPr>
        <w:pStyle w:val="Compact"/>
        <w:numPr>
          <w:ilvl w:val="0"/>
          <w:numId w:val="4"/>
        </w:numPr>
      </w:pPr>
      <w:r>
        <w:rPr>
          <w:b/>
          <w:bCs/>
        </w:rPr>
        <w:t>Publication and review congestion (additional analysis).</w:t>
      </w:r>
      <w:r>
        <w:t xml:space="preserve"> Journal versions from OpenAlex links, classified by the ABDC A*/A and FT50 lists; yearly submission counts and decision times from journals’ editor reports (the </w:t>
      </w:r>
      <w:r>
        <w:rPr>
          <w:i/>
          <w:iCs/>
        </w:rPr>
        <w:t>Journal of Finance</w:t>
      </w:r>
      <w:r>
        <w:t>, for example, publishes submission and turnaround statistics every year; American Finance Association, n.d.); public programs of top conferences (AFA, WFA, EFA, SFS Cavalcade, FIRS; the AAA annual meeting and FARS midyear), matched to SSRN papers by title and authors.</w:t>
      </w:r>
    </w:p>
    <w:p w14:paraId="224B2909" w14:textId="77777777" w:rsidR="00590BD8" w:rsidRDefault="00000000">
      <w:pPr>
        <w:pStyle w:val="Heading1"/>
      </w:pPr>
      <w:bookmarkStart w:id="9" w:name="g-tools"/>
      <w:bookmarkEnd w:id="8"/>
      <w:r>
        <w:t>(G) Tools</w:t>
      </w:r>
    </w:p>
    <w:p w14:paraId="38720753" w14:textId="77777777" w:rsidR="00590BD8" w:rsidRDefault="00000000">
      <w:pPr>
        <w:pStyle w:val="Compact"/>
        <w:numPr>
          <w:ilvl w:val="0"/>
          <w:numId w:val="5"/>
        </w:numPr>
      </w:pPr>
      <w:r>
        <w:rPr>
          <w:b/>
          <w:bCs/>
        </w:rPr>
        <w:t>Estimation.</w:t>
      </w:r>
      <w:r>
        <w:t xml:space="preserve"> Poisson pseudo-maximum likelihood on the scholar-quarter panel, with standard errors clustered by scholar (two-way by scholar and institution as robustness). Event-study plots by method around each release, with flat 2018–2022 pre-trends as the core check.</w:t>
      </w:r>
    </w:p>
    <w:p w14:paraId="098FD8D1" w14:textId="77777777" w:rsidR="00590BD8" w:rsidRDefault="00000000">
      <w:pPr>
        <w:pStyle w:val="Compact"/>
        <w:numPr>
          <w:ilvl w:val="0"/>
          <w:numId w:val="5"/>
        </w:numPr>
      </w:pPr>
      <w:r>
        <w:rPr>
          <w:b/>
          <w:bCs/>
        </w:rPr>
        <w:t>Identification checks.</w:t>
      </w:r>
      <w:r>
        <w:t xml:space="preserve"> Placebo release dates before 2022; theory’s response in 2023 should be near zero (H2); event-study pre-trends by method, which would also show posting habits diverging before ChatGPT; scholars who use several methods are compared within scholar; new working papers on any platform as the outcome; papers about AI and papers using LLMs as a research method are handled separately; composition checks for SSRN’s journal-submission pipelines.</w:t>
      </w:r>
    </w:p>
    <w:p w14:paraId="6E7D7F59" w14:textId="77777777" w:rsidR="00590BD8" w:rsidRDefault="00000000">
      <w:pPr>
        <w:pStyle w:val="Compact"/>
        <w:numPr>
          <w:ilvl w:val="0"/>
          <w:numId w:val="5"/>
        </w:numPr>
      </w:pPr>
      <w:r>
        <w:rPr>
          <w:b/>
          <w:bCs/>
        </w:rPr>
        <w:t>Additional analysis: do the extra papers hold up?</w:t>
      </w:r>
      <w:r>
        <w:t xml:space="preserve"> Papers posted from 2018 to September 2024 all have a complete 24-month window by September 2026. For these, I compare the share published in an ABDC A*/A or FT50 journal within 24 months of posting. Accounting journals already averaged about 26 months from submission to acceptance (Hurley et al. 2025), so this share measures speed. Slower review should lower it for all recent cohorts; </w:t>
      </w:r>
      <w:r>
        <w:lastRenderedPageBreak/>
        <w:t>inflation predicts a larger fall in the methods whose output rose most. Four features keep slower review from being read as inflation:</w:t>
      </w:r>
    </w:p>
    <w:p w14:paraId="5F8B66BA" w14:textId="77777777" w:rsidR="00590BD8" w:rsidRDefault="00000000">
      <w:pPr>
        <w:pStyle w:val="Compact"/>
        <w:numPr>
          <w:ilvl w:val="1"/>
          <w:numId w:val="6"/>
        </w:numPr>
      </w:pPr>
      <w:r>
        <w:t>posting-quarter fixed effects within each field compare papers that entered journal queues at about the same time, so the test uses only the gap between methods within a cohort and how that gap changes, not the level;</w:t>
      </w:r>
    </w:p>
    <w:p w14:paraId="01F0CEE8" w14:textId="77777777" w:rsidR="00590BD8" w:rsidRDefault="00000000">
      <w:pPr>
        <w:pStyle w:val="Compact"/>
        <w:numPr>
          <w:ilvl w:val="1"/>
          <w:numId w:val="6"/>
        </w:numPr>
      </w:pPr>
      <w:r>
        <w:t>journals’ submission counts and decision times measure the slowdown directly;</w:t>
      </w:r>
    </w:p>
    <w:p w14:paraId="0E3E4BE3" w14:textId="77777777" w:rsidR="00590BD8" w:rsidRDefault="00000000">
      <w:pPr>
        <w:pStyle w:val="Compact"/>
        <w:numPr>
          <w:ilvl w:val="1"/>
          <w:numId w:val="6"/>
        </w:numPr>
      </w:pPr>
      <w:r>
        <w:t>conference acceptance, near-duplicate papers by the same author and AI referee scores (validated against later top-three publication by Lu, Luo &amp; Yu 2026, and computed where conference PDFs are public) do not depend on journal queues;</w:t>
      </w:r>
    </w:p>
    <w:p w14:paraId="06F20063" w14:textId="77777777" w:rsidR="00590BD8" w:rsidRDefault="00000000">
      <w:pPr>
        <w:pStyle w:val="Compact"/>
        <w:numPr>
          <w:ilvl w:val="1"/>
          <w:numId w:val="6"/>
        </w:numPr>
      </w:pPr>
      <w:r>
        <w:t>outcomes are updated in 2027 and 2028, extending the window to 36 and 48 months, by which time genuine papers that were only delayed should be published.</w:t>
      </w:r>
    </w:p>
    <w:p w14:paraId="0D0593EF" w14:textId="77777777" w:rsidR="00590BD8" w:rsidRDefault="00000000">
      <w:pPr>
        <w:pStyle w:val="Heading1"/>
      </w:pPr>
      <w:bookmarkStart w:id="10" w:name="h-whats-new"/>
      <w:bookmarkEnd w:id="9"/>
      <w:r>
        <w:t>(H) What’s New?</w:t>
      </w:r>
    </w:p>
    <w:p w14:paraId="2A08F39E" w14:textId="77777777" w:rsidR="00590BD8" w:rsidRDefault="00000000">
      <w:pPr>
        <w:pStyle w:val="FirstParagraph"/>
      </w:pPr>
      <w:r>
        <w:t>Four recent studies are closest to this one. Walther &amp; Dutordoir (2025) study 55,964 articles in 34 finance journals: readability falls after ChatGPT, and authors whose post-ChatGPT papers score higher on AI use publish more papers, but in lower-ranked journals. They observe published articles only, and their AI measure comes from the authors’ own papers. Arcila (2026) compares 26 fields by their predetermined AI intensity and finds that published output rises only in computer science, with finance and accounting below the threshold at which gains appear; the design works at the level of fields, not scholars. Gardner, Krupa &amp; Mammadov (2026) and Barrick, Summers &amp; Wood (2025) document AI use among accounting scholars (nearly two-thirds of more than 1,100 surveyed accounting faculty already use generative AI), but not its effect on output.</w:t>
      </w:r>
    </w:p>
    <w:p w14:paraId="3476CC4A" w14:textId="77777777" w:rsidR="00590BD8" w:rsidRDefault="00000000">
      <w:pPr>
        <w:pStyle w:val="BodyText"/>
      </w:pPr>
      <w:r>
        <w:t>What this project adds:</w:t>
      </w:r>
    </w:p>
    <w:p w14:paraId="4C880F32" w14:textId="77777777" w:rsidR="00590BD8" w:rsidRDefault="00000000">
      <w:pPr>
        <w:pStyle w:val="Compact"/>
        <w:numPr>
          <w:ilvl w:val="0"/>
          <w:numId w:val="7"/>
        </w:numPr>
      </w:pPr>
      <w:r>
        <w:t>effects for individual scholars at the working-paper stage, identified from method mixes fixed before ChatGPT, so the treatment never depends on a scholar’s own output;</w:t>
      </w:r>
    </w:p>
    <w:p w14:paraId="1ABBC29D" w14:textId="77777777" w:rsidR="00590BD8" w:rsidRDefault="00000000">
      <w:pPr>
        <w:pStyle w:val="Compact"/>
        <w:numPr>
          <w:ilvl w:val="0"/>
          <w:numId w:val="7"/>
        </w:numPr>
      </w:pPr>
      <w:r>
        <w:t>evidence on which methods each type of AI release speeds up, including theory, which reasoning models reach only from late 2024, a timing pattern none of these studies uses;</w:t>
      </w:r>
    </w:p>
    <w:p w14:paraId="3025C585" w14:textId="77777777" w:rsidR="00590BD8" w:rsidRDefault="00000000">
      <w:pPr>
        <w:pStyle w:val="Compact"/>
        <w:numPr>
          <w:ilvl w:val="0"/>
          <w:numId w:val="7"/>
        </w:numPr>
      </w:pPr>
      <w:r>
        <w:t>data to September 2026, covering reasoning models and agentic coding tools.</w:t>
      </w:r>
    </w:p>
    <w:p w14:paraId="341759E8" w14:textId="77777777" w:rsidR="00590BD8" w:rsidRDefault="00000000">
      <w:pPr>
        <w:pStyle w:val="Heading1"/>
      </w:pPr>
      <w:bookmarkStart w:id="11" w:name="i-so-what"/>
      <w:bookmarkEnd w:id="10"/>
      <w:r>
        <w:t>(I) So What?</w:t>
      </w:r>
    </w:p>
    <w:p w14:paraId="7EE0E3E8" w14:textId="77777777" w:rsidR="00590BD8" w:rsidRDefault="00000000">
      <w:pPr>
        <w:pStyle w:val="FirstParagraph"/>
      </w:pPr>
      <w:r>
        <w:t>Business schools count papers, often against journal lists. If AI raises counts more in some methods than in others, promotion committees end up comparing unlike quantities. Journals receiving more submissions need to know where the extra manuscripts come from and whether they are publishable. Doctoral programs need to know which methods AI is turning into routine work, because that shapes which skills students should build; Keloharju &amp; Keloharju (2025) argue that humans keep an edge in higher-order reasoning and in control over data. SSRN’s integrity screening and journals’ AI policies need the same evidence.</w:t>
      </w:r>
    </w:p>
    <w:p w14:paraId="14943831" w14:textId="77777777" w:rsidR="00590BD8" w:rsidRDefault="00000000">
      <w:pPr>
        <w:pStyle w:val="Heading1"/>
      </w:pPr>
      <w:bookmarkStart w:id="12" w:name="j-contribution"/>
      <w:bookmarkEnd w:id="11"/>
      <w:r>
        <w:t>(J) Contribution</w:t>
      </w:r>
    </w:p>
    <w:p w14:paraId="153C5B7D" w14:textId="77777777" w:rsidR="00590BD8" w:rsidRDefault="00000000">
      <w:pPr>
        <w:pStyle w:val="FirstParagraph"/>
      </w:pPr>
      <w:r>
        <w:t>The project contributes to three literatures. First, it gives research on AI and scientific production (Kusumegi et al. 2025; Filimonovic, Rutzer &amp; Wunsch 2025; Arcila 2026) an estimate that does not depend on when a scholar’s first AI-flagged paper appears, broken down by research method and type of AI release, a breakdown by use that Arcila leaves for future work. Second, it extends work on technology and research productivity in finance and in academia more broadly (Kim, Morse &amp; Zingales 2009; Ding, Levin, Stephan &amp; Winkler 2010; Brogaard, Engelberg &amp; Parsons 2014; Barber et al. 2021) to generative AI. Third, it moves accounting research on AI from documenting use (Gardner et al. 2026; Stratopoulos &amp; Wang 2025) to measuring productivity. The publication analysis also informs research evaluation and journal policy (Gartenberg et al. 2026; Lu, Luo &amp; Yu 2026).</w:t>
      </w:r>
    </w:p>
    <w:p w14:paraId="478E79EA" w14:textId="77777777" w:rsidR="00590BD8" w:rsidRDefault="00000000">
      <w:pPr>
        <w:pStyle w:val="Heading1"/>
      </w:pPr>
      <w:bookmarkStart w:id="13" w:name="k-other-considerations"/>
      <w:bookmarkEnd w:id="12"/>
      <w:r>
        <w:lastRenderedPageBreak/>
        <w:t>(K) Other Considerations</w:t>
      </w:r>
    </w:p>
    <w:p w14:paraId="3FE7E5FE" w14:textId="77777777" w:rsidR="00590BD8" w:rsidRDefault="00000000">
      <w:pPr>
        <w:pStyle w:val="Compact"/>
        <w:numPr>
          <w:ilvl w:val="0"/>
          <w:numId w:val="8"/>
        </w:numPr>
      </w:pPr>
      <w:r>
        <w:rPr>
          <w:b/>
          <w:bCs/>
        </w:rPr>
        <w:t>Target outputs.</w:t>
      </w:r>
      <w:r>
        <w:t xml:space="preserve"> </w:t>
      </w:r>
      <w:r>
        <w:rPr>
          <w:i/>
          <w:iCs/>
        </w:rPr>
        <w:t>Management Science</w:t>
      </w:r>
      <w:r>
        <w:t xml:space="preserve"> (Finance or Accounting department; ABDC A*, FT50, UTD24); the </w:t>
      </w:r>
      <w:r>
        <w:rPr>
          <w:i/>
          <w:iCs/>
        </w:rPr>
        <w:t>Journal of Finance</w:t>
      </w:r>
      <w:r>
        <w:t xml:space="preserve"> if finance drives the results, the </w:t>
      </w:r>
      <w:r>
        <w:rPr>
          <w:i/>
          <w:iCs/>
        </w:rPr>
        <w:t>Journal of Accounting Research</w:t>
      </w:r>
      <w:r>
        <w:t xml:space="preserve"> if accounting does.</w:t>
      </w:r>
    </w:p>
    <w:p w14:paraId="3E6F0EE6" w14:textId="77777777" w:rsidR="00590BD8" w:rsidRDefault="00000000">
      <w:pPr>
        <w:pStyle w:val="Compact"/>
        <w:numPr>
          <w:ilvl w:val="0"/>
          <w:numId w:val="8"/>
        </w:numPr>
      </w:pPr>
      <w:r>
        <w:rPr>
          <w:b/>
          <w:bCs/>
        </w:rPr>
        <w:t>Risks.</w:t>
      </w:r>
      <w:r>
        <w:t xml:space="preserve"> (1) Competition from Walther &amp; Dutordoir, Gardner et al. and Arcila, so speed matters. (2) Classification error, handled by hand-coded validation. (3) Writing- and coding-type releases fall close together in 2023, so their separation relies on quarterly timing and on 2025 agentic coding; reasoning-type release dates must be pinned down. (4) Method-specific shocks unrelated to AI (for example, data availability or topic fashions in asset pricing) could mimic the pattern; pre-trends and placebo dates guard against this. (5) SSRN’s own growth could be mistaken for AI’s effect; the field-specific quarter effects, the fixed panel and the measured posting rate address it. (6) If journals that publish archival work receive the most new submissions, their slower reviews would look like inflation within 24 months; journal-level congestion data and the 2027 and 2028 updates address this, which is also why the publication analysis is secondary. (7) The 2025 abstract gap needs Scopus or ICSR Lab.</w:t>
      </w:r>
    </w:p>
    <w:p w14:paraId="459B6E49" w14:textId="77777777" w:rsidR="00590BD8" w:rsidRDefault="00000000">
      <w:pPr>
        <w:pStyle w:val="Compact"/>
        <w:numPr>
          <w:ilvl w:val="0"/>
          <w:numId w:val="8"/>
        </w:numPr>
      </w:pPr>
      <w:r>
        <w:rPr>
          <w:b/>
          <w:bCs/>
        </w:rPr>
        <w:t>Limitations stated upfront.</w:t>
      </w:r>
      <w:r>
        <w:t xml:space="preserve"> The design identifies differences between methods, not the total effect of AI: if writing tools raise output in every method, the field-specific quarter effects absorb that common part together with SSRN’s own growth, and the two cannot be separated. Working papers proxy for research output, and the first stage measures AI-style writing, not coding.</w:t>
      </w:r>
    </w:p>
    <w:p w14:paraId="76E2D376" w14:textId="77777777" w:rsidR="00590BD8" w:rsidRDefault="00000000">
      <w:pPr>
        <w:pStyle w:val="Compact"/>
        <w:numPr>
          <w:ilvl w:val="0"/>
          <w:numId w:val="8"/>
        </w:numPr>
      </w:pPr>
      <w:r>
        <w:rPr>
          <w:b/>
          <w:bCs/>
        </w:rPr>
        <w:t>Feasibility and ethics.</w:t>
      </w:r>
      <w:r>
        <w:t xml:space="preserve"> Metadata come from OpenAlex (CC0) and Crossref, never from scraping SSRN; abstracts for text measures come through a licensed route where possible; conference programs and editor reports are public. The scholar-level panel uses identifiable public information about people, which the Australian National Statement treats as human research, so an exemption or low-risk review from the Adelaide HREC is needed (no participant contact).</w:t>
      </w:r>
    </w:p>
    <w:p w14:paraId="76D75A1D" w14:textId="77777777" w:rsidR="00590BD8" w:rsidRDefault="00000000">
      <w:pPr>
        <w:pStyle w:val="Heading1"/>
      </w:pPr>
      <w:bookmarkStart w:id="14" w:name="references"/>
      <w:bookmarkEnd w:id="13"/>
      <w:r>
        <w:t>References</w:t>
      </w:r>
    </w:p>
    <w:p w14:paraId="3EA8FB4D" w14:textId="77777777" w:rsidR="00590BD8" w:rsidRDefault="00000000">
      <w:pPr>
        <w:pStyle w:val="Bibliography"/>
      </w:pPr>
      <w:r>
        <w:t xml:space="preserve">American Economic Association. (n.d.). </w:t>
      </w:r>
      <w:r>
        <w:rPr>
          <w:i/>
          <w:iCs/>
        </w:rPr>
        <w:t>JEL classification system / EconLit subject descriptors</w:t>
      </w:r>
      <w:r>
        <w:t xml:space="preserve">. </w:t>
      </w:r>
      <w:hyperlink r:id="rId7">
        <w:r>
          <w:rPr>
            <w:rStyle w:val="Hyperlink"/>
          </w:rPr>
          <w:t>https://www.aeaweb.org/econlit/jelCodes.php</w:t>
        </w:r>
      </w:hyperlink>
    </w:p>
    <w:p w14:paraId="73BDA10C" w14:textId="77777777" w:rsidR="00590BD8" w:rsidRDefault="00000000">
      <w:pPr>
        <w:pStyle w:val="Bibliography"/>
      </w:pPr>
      <w:r>
        <w:t xml:space="preserve">American Finance Association. (n.d.). </w:t>
      </w:r>
      <w:r>
        <w:rPr>
          <w:i/>
          <w:iCs/>
        </w:rPr>
        <w:t>Journal of Finance editor reports</w:t>
      </w:r>
      <w:r>
        <w:t xml:space="preserve">. </w:t>
      </w:r>
      <w:hyperlink r:id="rId8">
        <w:r>
          <w:rPr>
            <w:rStyle w:val="Hyperlink"/>
          </w:rPr>
          <w:t>https://afajof.org/journal-of-finance-editor-reports/</w:t>
        </w:r>
      </w:hyperlink>
    </w:p>
    <w:p w14:paraId="4CD82EA9" w14:textId="77777777" w:rsidR="00590BD8" w:rsidRDefault="00000000">
      <w:pPr>
        <w:pStyle w:val="Bibliography"/>
      </w:pPr>
      <w:r>
        <w:t xml:space="preserve">Arcila, A. (2026). </w:t>
      </w:r>
      <w:r>
        <w:rPr>
          <w:i/>
          <w:iCs/>
        </w:rPr>
        <w:t>Causal effects of generative AI adoption on scientific output: Quasi-experimental evidence of heterogeneous impacts across 26 disciplines</w:t>
      </w:r>
      <w:r>
        <w:t xml:space="preserve"> (Working paper). SSRN 6385141.</w:t>
      </w:r>
    </w:p>
    <w:p w14:paraId="1C82F96A" w14:textId="77777777" w:rsidR="00590BD8" w:rsidRDefault="00000000">
      <w:pPr>
        <w:pStyle w:val="Bibliography"/>
      </w:pPr>
      <w:r>
        <w:t xml:space="preserve">Barber, B. M., Jiang, W., Morse, A., Puri, M., Tookes, H., &amp; Werner, I. M. (2021). What explains differences in finance research productivity during the pandemic? </w:t>
      </w:r>
      <w:r>
        <w:rPr>
          <w:i/>
          <w:iCs/>
        </w:rPr>
        <w:t>Journal of Finance, 76</w:t>
      </w:r>
      <w:r>
        <w:t>(4), 1655–1697.</w:t>
      </w:r>
    </w:p>
    <w:p w14:paraId="67A72030" w14:textId="77777777" w:rsidR="00590BD8" w:rsidRDefault="00000000">
      <w:pPr>
        <w:pStyle w:val="Bibliography"/>
      </w:pPr>
      <w:r>
        <w:t xml:space="preserve">Barrick, J. A., Summers, S. L., &amp; Wood, D. A. (2025). </w:t>
      </w:r>
      <w:r>
        <w:rPr>
          <w:i/>
          <w:iCs/>
        </w:rPr>
        <w:t>Accounting publication process: Are we making progress? What about GenAI?</w:t>
      </w:r>
      <w:r>
        <w:t xml:space="preserve"> (Working paper). SSRN 5546300.</w:t>
      </w:r>
    </w:p>
    <w:p w14:paraId="118AB29F" w14:textId="77777777" w:rsidR="00590BD8" w:rsidRDefault="00000000">
      <w:pPr>
        <w:pStyle w:val="Bibliography"/>
      </w:pPr>
      <w:r>
        <w:t xml:space="preserve">Brogaard, J., Engelberg, J., &amp; Parsons, C. A. (2014). Networks and productivity: Causal evidence from editor rotations. </w:t>
      </w:r>
      <w:r>
        <w:rPr>
          <w:i/>
          <w:iCs/>
        </w:rPr>
        <w:t>Journal of Financial Economics, 111</w:t>
      </w:r>
      <w:r>
        <w:t>(1), 251–270.</w:t>
      </w:r>
    </w:p>
    <w:p w14:paraId="10F347CB" w14:textId="77777777" w:rsidR="00590BD8" w:rsidRDefault="00000000">
      <w:pPr>
        <w:pStyle w:val="Bibliography"/>
      </w:pPr>
      <w:r>
        <w:t xml:space="preserve">Ciconte, W. A., Rozario, A. M., &amp; Urcan, O. (2026). Using AI to identify exogenous shocks and conduct archival accounting research. </w:t>
      </w:r>
      <w:r>
        <w:rPr>
          <w:i/>
          <w:iCs/>
        </w:rPr>
        <w:t>Review of Accounting Studies, 31</w:t>
      </w:r>
      <w:r>
        <w:t>(3), 1638–1676.</w:t>
      </w:r>
    </w:p>
    <w:p w14:paraId="6015FBE7" w14:textId="77777777" w:rsidR="00590BD8" w:rsidRDefault="00000000">
      <w:pPr>
        <w:pStyle w:val="Bibliography"/>
      </w:pPr>
      <w:r>
        <w:t xml:space="preserve">Coyne, J. G., Summers, S. L., Williams, B., &amp; Wood, D. A. (2010). Accounting program research rankings by topical area and methodology. </w:t>
      </w:r>
      <w:r>
        <w:rPr>
          <w:i/>
          <w:iCs/>
        </w:rPr>
        <w:t>Issues in Accounting Education, 25</w:t>
      </w:r>
      <w:r>
        <w:t>(4), 631–654.</w:t>
      </w:r>
    </w:p>
    <w:p w14:paraId="466DBFDC" w14:textId="77777777" w:rsidR="00590BD8" w:rsidRDefault="00000000">
      <w:pPr>
        <w:pStyle w:val="Bibliography"/>
      </w:pPr>
      <w:r>
        <w:t xml:space="preserve">Ding, W. W., Levin, S. G., Stephan, P. E., &amp; Winkler, A. E. (2010). The impact of information technology on academic scientists’ productivity and collaboration patterns. </w:t>
      </w:r>
      <w:r>
        <w:rPr>
          <w:i/>
          <w:iCs/>
        </w:rPr>
        <w:t>Management Science, 56</w:t>
      </w:r>
      <w:r>
        <w:t>(9), 1439–1461.</w:t>
      </w:r>
    </w:p>
    <w:p w14:paraId="7B6626D2" w14:textId="77777777" w:rsidR="00590BD8" w:rsidRDefault="00000000">
      <w:pPr>
        <w:pStyle w:val="Bibliography"/>
      </w:pPr>
      <w:r>
        <w:t xml:space="preserve">Eloundou, T., Manning, S., Mishkin, P., &amp; Rock, D. (2024). GPTs are GPTs: Labor market impact potential of LLMs. </w:t>
      </w:r>
      <w:r>
        <w:rPr>
          <w:i/>
          <w:iCs/>
        </w:rPr>
        <w:t>Science, 384</w:t>
      </w:r>
      <w:r>
        <w:t>(6702), 1306–1308.</w:t>
      </w:r>
    </w:p>
    <w:p w14:paraId="18EC4692" w14:textId="77777777" w:rsidR="00590BD8" w:rsidRDefault="00000000">
      <w:pPr>
        <w:pStyle w:val="Bibliography"/>
      </w:pPr>
      <w:r>
        <w:lastRenderedPageBreak/>
        <w:t xml:space="preserve">Faff, R. W. (2024). </w:t>
      </w:r>
      <w:r>
        <w:rPr>
          <w:i/>
          <w:iCs/>
        </w:rPr>
        <w:t>Pitching Research</w:t>
      </w:r>
      <w:r>
        <w:t xml:space="preserve"> (Version 19.0). SSRN 2462059.</w:t>
      </w:r>
    </w:p>
    <w:p w14:paraId="3B5C0151" w14:textId="77777777" w:rsidR="00590BD8" w:rsidRDefault="00000000">
      <w:pPr>
        <w:pStyle w:val="Bibliography"/>
      </w:pPr>
      <w:r>
        <w:t xml:space="preserve">Felten, E., Raj, M., &amp; Seamans, R. (2021). Occupational, industry, and geographic exposure to artificial intelligence: A novel dataset and its potential uses. </w:t>
      </w:r>
      <w:r>
        <w:rPr>
          <w:i/>
          <w:iCs/>
        </w:rPr>
        <w:t>Strategic Management Journal, 42</w:t>
      </w:r>
      <w:r>
        <w:t>(12), 2195–2217.</w:t>
      </w:r>
    </w:p>
    <w:p w14:paraId="53AB55B1" w14:textId="77777777" w:rsidR="00590BD8" w:rsidRDefault="00000000">
      <w:pPr>
        <w:pStyle w:val="Bibliography"/>
      </w:pPr>
      <w:r>
        <w:t xml:space="preserve">Filimonovic, D., Rutzer, C., &amp; Wunsch, C. (2025). </w:t>
      </w:r>
      <w:r>
        <w:rPr>
          <w:i/>
          <w:iCs/>
        </w:rPr>
        <w:t>Can GenAI improve academic performance? Evidence from the social and behavioral sciences</w:t>
      </w:r>
      <w:r>
        <w:t xml:space="preserve"> (Working paper). arXiv 2510.02408.</w:t>
      </w:r>
    </w:p>
    <w:p w14:paraId="6F035C43" w14:textId="77777777" w:rsidR="00590BD8" w:rsidRDefault="00000000">
      <w:pPr>
        <w:pStyle w:val="Bibliography"/>
      </w:pPr>
      <w:r>
        <w:t xml:space="preserve">Gardner, J., Krupa, N. R., &amp; Mammadov, B. (2026). Generative artificial intelligence in the writing process of accounting research. </w:t>
      </w:r>
      <w:r>
        <w:rPr>
          <w:i/>
          <w:iCs/>
        </w:rPr>
        <w:t>Accounting Open, 2</w:t>
      </w:r>
      <w:r>
        <w:t>, 100010.</w:t>
      </w:r>
    </w:p>
    <w:p w14:paraId="6EF764EE" w14:textId="77777777" w:rsidR="00590BD8" w:rsidRDefault="00000000">
      <w:pPr>
        <w:pStyle w:val="Bibliography"/>
      </w:pPr>
      <w:r>
        <w:t xml:space="preserve">Gartenberg, C., Hasan, S., Murray, A., &amp; Pierce, L. (2026). More versus better: Artificial intelligence, incentives, and the emerging crisis in peer review. </w:t>
      </w:r>
      <w:r>
        <w:rPr>
          <w:i/>
          <w:iCs/>
        </w:rPr>
        <w:t>Organization Science, 37</w:t>
      </w:r>
      <w:r>
        <w:t>(3), 795–812.</w:t>
      </w:r>
    </w:p>
    <w:p w14:paraId="23E80290" w14:textId="77777777" w:rsidR="00590BD8" w:rsidRDefault="00000000">
      <w:pPr>
        <w:pStyle w:val="Bibliography"/>
      </w:pPr>
      <w:r>
        <w:t xml:space="preserve">Hurley, P. J., Gal-Or, R., Knechel, W. R., &amp; Pesch, H. L. (2025). Submit-to-accept times in accounting: Determinants and comparisons to other business disciplines. </w:t>
      </w:r>
      <w:r>
        <w:rPr>
          <w:i/>
          <w:iCs/>
        </w:rPr>
        <w:t>The Accounting Review, 100</w:t>
      </w:r>
      <w:r>
        <w:t>(2), 219–247.</w:t>
      </w:r>
    </w:p>
    <w:p w14:paraId="16B70AC8" w14:textId="77777777" w:rsidR="00590BD8" w:rsidRDefault="00000000">
      <w:pPr>
        <w:pStyle w:val="Bibliography"/>
      </w:pPr>
      <w:r>
        <w:t xml:space="preserve">Keloharju, M., &amp; Keloharju, R. (2025). </w:t>
      </w:r>
      <w:r>
        <w:rPr>
          <w:i/>
          <w:iCs/>
        </w:rPr>
        <w:t>Accounting research in the age of AI</w:t>
      </w:r>
      <w:r>
        <w:t xml:space="preserve"> (IFN Working Paper No. 1528). Research Institute of Industrial Economics.</w:t>
      </w:r>
    </w:p>
    <w:p w14:paraId="0725648A" w14:textId="77777777" w:rsidR="00590BD8" w:rsidRDefault="00000000">
      <w:pPr>
        <w:pStyle w:val="Bibliography"/>
      </w:pPr>
      <w:r>
        <w:t xml:space="preserve">Kerr, N. L. (1998). HARKing: Hypothesizing after the results are known. </w:t>
      </w:r>
      <w:r>
        <w:rPr>
          <w:i/>
          <w:iCs/>
        </w:rPr>
        <w:t>Personality and Social Psychology Review, 2</w:t>
      </w:r>
      <w:r>
        <w:t>(3), 196–217.</w:t>
      </w:r>
    </w:p>
    <w:p w14:paraId="408EB95B" w14:textId="77777777" w:rsidR="00590BD8" w:rsidRDefault="00000000">
      <w:pPr>
        <w:pStyle w:val="Bibliography"/>
      </w:pPr>
      <w:r>
        <w:t xml:space="preserve">Kim, E. H., Morse, A., &amp; Zingales, L. (2009). Are elite universities losing their competitive edge? </w:t>
      </w:r>
      <w:r>
        <w:rPr>
          <w:i/>
          <w:iCs/>
        </w:rPr>
        <w:t>Journal of Financial Economics, 93</w:t>
      </w:r>
      <w:r>
        <w:t>(3), 353–381.</w:t>
      </w:r>
    </w:p>
    <w:p w14:paraId="3E69ACE1" w14:textId="77777777" w:rsidR="00590BD8" w:rsidRDefault="00000000">
      <w:pPr>
        <w:pStyle w:val="Bibliography"/>
      </w:pPr>
      <w:r>
        <w:t xml:space="preserve">Kobak, D., González-Márquez, R., Horvát, E.-Á., &amp; Lause, J. (2025). Delving into LLM-assisted writing in biomedical publications through excess vocabulary. </w:t>
      </w:r>
      <w:r>
        <w:rPr>
          <w:i/>
          <w:iCs/>
        </w:rPr>
        <w:t>Science Advances, 11</w:t>
      </w:r>
      <w:r>
        <w:t>(27).</w:t>
      </w:r>
    </w:p>
    <w:p w14:paraId="7719FEE3" w14:textId="77777777" w:rsidR="00590BD8" w:rsidRDefault="00000000">
      <w:pPr>
        <w:pStyle w:val="Bibliography"/>
      </w:pPr>
      <w:r>
        <w:t xml:space="preserve">Kusumegi, K., Yang, X., Ginsparg, P., de Vaan, M., Stuart, T., &amp; Yin, Y. (2025). Scientific production in the era of large language models. </w:t>
      </w:r>
      <w:r>
        <w:rPr>
          <w:i/>
          <w:iCs/>
        </w:rPr>
        <w:t>Science, 390</w:t>
      </w:r>
      <w:r>
        <w:t>(6779), 1240–1243.</w:t>
      </w:r>
    </w:p>
    <w:p w14:paraId="3B5451C9" w14:textId="77777777" w:rsidR="00590BD8" w:rsidRDefault="00000000">
      <w:pPr>
        <w:pStyle w:val="Bibliography"/>
      </w:pPr>
      <w:r>
        <w:t xml:space="preserve">Kusumegi, K., Yang, X., Ginsparg, P., de Vaan, M., Stuart, T., &amp; Yin, Y. (2026). </w:t>
      </w:r>
      <w:r>
        <w:rPr>
          <w:i/>
          <w:iCs/>
        </w:rPr>
        <w:t>A robust association between LLM use and scientific productivity: Assessing stopping-time selection</w:t>
      </w:r>
      <w:r>
        <w:t xml:space="preserve"> (Working paper). arXiv 2607.28968.</w:t>
      </w:r>
    </w:p>
    <w:p w14:paraId="2CD26782" w14:textId="77777777" w:rsidR="00590BD8" w:rsidRDefault="00000000">
      <w:pPr>
        <w:pStyle w:val="Bibliography"/>
      </w:pPr>
      <w:r>
        <w:t xml:space="preserve">Lu, H., Luo, Y., &amp; Yu, L. (2026). </w:t>
      </w:r>
      <w:r>
        <w:rPr>
          <w:i/>
          <w:iCs/>
        </w:rPr>
        <w:t>How well do LLMs perform in peer review? Evidence from finance and accounting</w:t>
      </w:r>
      <w:r>
        <w:t xml:space="preserve"> (Working paper). SSRN 7607363.</w:t>
      </w:r>
    </w:p>
    <w:p w14:paraId="1ED9B7C0" w14:textId="77777777" w:rsidR="00590BD8" w:rsidRDefault="00000000">
      <w:pPr>
        <w:pStyle w:val="Bibliography"/>
      </w:pPr>
      <w:r>
        <w:t xml:space="preserve">Nee, X., Zhong, H., &amp; Ni, X. (2026). </w:t>
      </w:r>
      <w:r>
        <w:rPr>
          <w:i/>
          <w:iCs/>
        </w:rPr>
        <w:t>The generative AI gold rush in theoretical and computational research</w:t>
      </w:r>
      <w:r>
        <w:t xml:space="preserve"> (Working paper). arXiv 2609.04872.</w:t>
      </w:r>
    </w:p>
    <w:p w14:paraId="216B0C34" w14:textId="77777777" w:rsidR="00590BD8" w:rsidRDefault="00000000">
      <w:pPr>
        <w:pStyle w:val="Bibliography"/>
      </w:pPr>
      <w:r>
        <w:t xml:space="preserve">Novy-Marx, R., &amp; Velikov, M. (2026). Artificial intelligence–powered (finance) scholarship. </w:t>
      </w:r>
      <w:r>
        <w:rPr>
          <w:i/>
          <w:iCs/>
        </w:rPr>
        <w:t>Journal of Economic Literature, 64</w:t>
      </w:r>
      <w:r>
        <w:t>(1), 5–37.</w:t>
      </w:r>
    </w:p>
    <w:p w14:paraId="22BFFD5C" w14:textId="77777777" w:rsidR="00590BD8" w:rsidRDefault="00000000">
      <w:pPr>
        <w:pStyle w:val="Bibliography"/>
      </w:pPr>
      <w:r>
        <w:t xml:space="preserve">Oler, D. K., Oler, M. J., &amp; Skousen, C. J. (2010). Characterizing accounting research. </w:t>
      </w:r>
      <w:r>
        <w:rPr>
          <w:i/>
          <w:iCs/>
        </w:rPr>
        <w:t>Accounting Horizons, 24</w:t>
      </w:r>
      <w:r>
        <w:t>(4), 635–670.</w:t>
      </w:r>
    </w:p>
    <w:p w14:paraId="3A677D6D" w14:textId="77777777" w:rsidR="00590BD8" w:rsidRDefault="00000000">
      <w:pPr>
        <w:pStyle w:val="Bibliography"/>
      </w:pPr>
      <w:r>
        <w:t xml:space="preserve">Priem, J., Piwowar, H., &amp; Orr, R. (2022). </w:t>
      </w:r>
      <w:r>
        <w:rPr>
          <w:i/>
          <w:iCs/>
        </w:rPr>
        <w:t>OpenAlex: A fully-open index of scholarly works, authors, venues, institutions, and concepts</w:t>
      </w:r>
      <w:r>
        <w:t xml:space="preserve"> (Working paper). arXiv 2205.01833.</w:t>
      </w:r>
    </w:p>
    <w:p w14:paraId="2F43919F" w14:textId="77777777" w:rsidR="00590BD8" w:rsidRDefault="00000000">
      <w:pPr>
        <w:pStyle w:val="Bibliography"/>
      </w:pPr>
      <w:r>
        <w:t xml:space="preserve">Renault, T., Bergeaud, A., &amp; Bosquet, C. (2026). Scientific production in the era of large language models: Outcome-triggered treatment timing and spurious event-study dynamics. </w:t>
      </w:r>
      <w:r>
        <w:rPr>
          <w:i/>
          <w:iCs/>
        </w:rPr>
        <w:t>Proceedings of the National Academy of Sciences, 123</w:t>
      </w:r>
      <w:r>
        <w:t>(33).</w:t>
      </w:r>
    </w:p>
    <w:p w14:paraId="4E363E21" w14:textId="77777777" w:rsidR="00590BD8" w:rsidRDefault="00000000">
      <w:pPr>
        <w:pStyle w:val="Bibliography"/>
      </w:pPr>
      <w:r>
        <w:t xml:space="preserve">Stratopoulos, T. C., &amp; Wang, V. X. (2025). Artificial intelligence and accounting research: A framework and agenda. </w:t>
      </w:r>
      <w:r>
        <w:rPr>
          <w:i/>
          <w:iCs/>
        </w:rPr>
        <w:t>International Journal of Accounting Information Systems, 56</w:t>
      </w:r>
      <w:r>
        <w:t>, 100760.</w:t>
      </w:r>
    </w:p>
    <w:p w14:paraId="11FA48C4" w14:textId="77777777" w:rsidR="00590BD8" w:rsidRDefault="00000000">
      <w:pPr>
        <w:pStyle w:val="Bibliography"/>
      </w:pPr>
      <w:r>
        <w:t xml:space="preserve">Walther, T., &amp; Dutordoir, M. (2025). </w:t>
      </w:r>
      <w:r>
        <w:rPr>
          <w:i/>
          <w:iCs/>
        </w:rPr>
        <w:t>Certainly! Generative AI and its influence on academic writing (in finance)</w:t>
      </w:r>
      <w:r>
        <w:t xml:space="preserve"> (Working paper). SSRN 5317993.</w:t>
      </w:r>
      <w:bookmarkEnd w:id="14"/>
    </w:p>
    <w:sectPr w:rsidR="00590BD8">
      <w:headerReference w:type="default" r:id="rId9"/>
      <w:footerReference w:type="default" r:id="rId10"/>
      <w:footnotePr>
        <w:numRestart w:val="eachSect"/>
      </w:footnotePr>
      <w:pgSz w:w="11906" w:h="16838"/>
      <w:pgMar w:top="1191" w:right="1191" w:bottom="1191" w:left="119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DA89FB" w14:textId="77777777" w:rsidR="00744F0F" w:rsidRDefault="00744F0F">
      <w:pPr>
        <w:spacing w:after="0" w:line="240" w:lineRule="auto"/>
      </w:pPr>
      <w:r>
        <w:separator/>
      </w:r>
    </w:p>
  </w:endnote>
  <w:endnote w:type="continuationSeparator" w:id="0">
    <w:p w14:paraId="3BB749B0" w14:textId="77777777" w:rsidR="00744F0F" w:rsidRDefault="00744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FBB77C" w14:textId="77777777" w:rsidR="00590BD8"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1753FD" w14:textId="77777777" w:rsidR="00744F0F" w:rsidRDefault="00744F0F">
      <w:pPr>
        <w:spacing w:after="0" w:line="240" w:lineRule="auto"/>
      </w:pPr>
      <w:r>
        <w:separator/>
      </w:r>
    </w:p>
  </w:footnote>
  <w:footnote w:type="continuationSeparator" w:id="0">
    <w:p w14:paraId="0D2FC6F3" w14:textId="77777777" w:rsidR="00744F0F" w:rsidRDefault="00744F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96050B" w14:textId="77777777" w:rsidR="00590BD8" w:rsidRDefault="00000000">
    <w:pPr>
      <w:jc w:val="right"/>
    </w:pPr>
    <w:r>
      <w:rPr>
        <w:color w:val="1F3A5F"/>
        <w:sz w:val="17"/>
      </w:rPr>
      <w:t>M. Sun · Generative AI and the Productivity of Finance and Accounting Scholars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39E9F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807B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DF4C9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08807184">
    <w:abstractNumId w:val="0"/>
  </w:num>
  <w:num w:numId="2" w16cid:durableId="981808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7198590">
    <w:abstractNumId w:val="1"/>
  </w:num>
  <w:num w:numId="4" w16cid:durableId="496654493">
    <w:abstractNumId w:val="1"/>
  </w:num>
  <w:num w:numId="5" w16cid:durableId="332728758">
    <w:abstractNumId w:val="1"/>
  </w:num>
  <w:num w:numId="6" w16cid:durableId="588346192">
    <w:abstractNumId w:val="1"/>
  </w:num>
  <w:num w:numId="7" w16cid:durableId="626594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758990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BD8"/>
    <w:rsid w:val="005474A7"/>
    <w:rsid w:val="00590BD8"/>
    <w:rsid w:val="0072504A"/>
    <w:rsid w:val="00744F0F"/>
    <w:rsid w:val="00A00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D6F6A7D"/>
  <w15:docId w15:val="{C80ED34B-A99F-1942-91C5-B7EC24315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sz w:val="22"/>
        <w:szCs w:val="22"/>
        <w:lang w:val="en-AU" w:eastAsia="zh-CN" w:bidi="ar-SA"/>
      </w:rPr>
    </w:rPrDefault>
    <w:pPrDefault>
      <w:pPr>
        <w:spacing w:after="120" w:line="264"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280" w:after="80"/>
      <w:outlineLvl w:val="0"/>
    </w:pPr>
    <w:rPr>
      <w:b/>
      <w:color w:val="1F3A5F"/>
      <w:sz w:val="26"/>
      <w:szCs w:val="26"/>
    </w:rPr>
  </w:style>
  <w:style w:type="paragraph" w:styleId="Heading2">
    <w:name w:val="heading 2"/>
    <w:basedOn w:val="Normal"/>
    <w:next w:val="BodyText"/>
    <w:link w:val="Heading2Char"/>
    <w:uiPriority w:val="9"/>
    <w:qFormat/>
    <w:pPr>
      <w:keepNext/>
      <w:keepLines/>
      <w:spacing w:before="200" w:after="60"/>
      <w:outlineLvl w:val="1"/>
    </w:pPr>
    <w:rPr>
      <w:b/>
      <w:color w:val="1F3A5F"/>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pPr>
      <w:spacing w:after="60"/>
    </w:pPr>
    <w:rPr>
      <w:b/>
      <w:color w:val="1F3A5F"/>
      <w:sz w:val="36"/>
      <w:szCs w:val="36"/>
    </w:rPr>
  </w:style>
  <w:style w:type="character" w:customStyle="1" w:styleId="TitleChar">
    <w:name w:val="Title Char"/>
    <w:basedOn w:val="DefaultParagraphFont"/>
    <w:link w:val="Title"/>
    <w:uiPriority w:val="10"/>
    <w:rsid w:val="00A10FD9"/>
    <w:rPr>
      <w:rFonts w:ascii="Cambria" w:eastAsia="Cambria" w:hAnsi="Cambria" w:cs="Cambria"/>
      <w:b/>
      <w:color w:val="1F3A5F"/>
    </w:rPr>
  </w:style>
  <w:style w:type="paragraph" w:styleId="Subtitle">
    <w:name w:val="Subtitle"/>
    <w:basedOn w:val="Normal"/>
    <w:next w:val="BodyText"/>
    <w:link w:val="SubtitleChar"/>
    <w:uiPriority w:val="11"/>
    <w:qFormat/>
    <w:pPr>
      <w:spacing w:after="160"/>
    </w:pPr>
    <w:rPr>
      <w:b/>
      <w:color w:val="1F3A5F"/>
      <w:sz w:val="26"/>
      <w:szCs w:val="26"/>
    </w:rPr>
  </w:style>
  <w:style w:type="character" w:customStyle="1" w:styleId="SubtitleChar">
    <w:name w:val="Subtitle Char"/>
    <w:basedOn w:val="DefaultParagraphFont"/>
    <w:link w:val="Subtitle"/>
    <w:uiPriority w:val="11"/>
    <w:rsid w:val="00A10FD9"/>
    <w:rPr>
      <w:rFonts w:ascii="Cambria" w:eastAsia="Cambria" w:hAnsi="Cambria" w:cs="Cambria"/>
      <w:b/>
      <w:color w:val="1F3A5F"/>
    </w:rPr>
  </w:style>
  <w:style w:type="paragraph" w:customStyle="1" w:styleId="Author">
    <w:name w:val="Author"/>
    <w:basedOn w:val="Normal"/>
    <w:next w:val="BodyText"/>
    <w:qFormat/>
    <w:pPr>
      <w:spacing w:after="40"/>
    </w:pPr>
  </w:style>
  <w:style w:type="paragraph" w:customStyle="1" w:styleId="Date1">
    <w:name w:val="Date1"/>
    <w:basedOn w:val="Normal"/>
    <w:next w:val="BodyText"/>
    <w:qFormat/>
    <w:pPr>
      <w:pBdr>
        <w:bottom w:val="single" w:sz="6" w:space="6" w:color="1F3A5F"/>
      </w:pBdr>
      <w:spacing w:after="200"/>
    </w:pPr>
    <w:rPr>
      <w:i/>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80"/>
      <w:ind w:left="400" w:hanging="400"/>
    </w:pPr>
    <w:rPr>
      <w:sz w:val="20"/>
      <w:szCs w:val="20"/>
    </w:rPr>
  </w:style>
  <w:style w:type="character" w:customStyle="1" w:styleId="Heading1Char">
    <w:name w:val="Heading 1 Char"/>
    <w:basedOn w:val="DefaultParagraphFont"/>
    <w:link w:val="Heading1"/>
    <w:uiPriority w:val="9"/>
    <w:rsid w:val="00A10FD9"/>
    <w:rPr>
      <w:rFonts w:ascii="Cambria" w:eastAsia="Cambria" w:hAnsi="Cambria" w:cs="Cambria"/>
      <w:b/>
      <w:color w:val="1F3A5F"/>
    </w:rPr>
  </w:style>
  <w:style w:type="character" w:customStyle="1" w:styleId="Heading2Char">
    <w:name w:val="Heading 2 Char"/>
    <w:basedOn w:val="DefaultParagraphFont"/>
    <w:link w:val="Heading2"/>
    <w:uiPriority w:val="9"/>
    <w:semiHidden/>
    <w:rsid w:val="00A10FD9"/>
    <w:rPr>
      <w:rFonts w:ascii="Cambria" w:eastAsia="Cambria" w:hAnsi="Cambria" w:cs="Cambria"/>
      <w:b/>
      <w:color w:val="1F3A5F"/>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uiPriority w:val="59"/>
    <w:qFormat/>
    <w:pPr>
      <w:spacing w:before="20" w:after="20" w:line="240" w:lineRule="auto"/>
    </w:pPr>
    <w:rPr>
      <w:sz w:val="20"/>
      <w:szCs w:val="20"/>
      <w:lang w:val="en-US"/>
    </w:rPr>
    <w:tblPr>
      <w:tblInd w:w="0" w:type="dxa"/>
      <w:tblBorders>
        <w:top w:val="single" w:sz="8" w:space="0" w:color="1F3A5F"/>
        <w:bottom w:val="single" w:sz="8" w:space="0" w:color="1F3A5F"/>
      </w:tblBorders>
      <w:tblCellMar>
        <w:top w:w="30" w:type="dxa"/>
        <w:left w:w="80" w:type="dxa"/>
        <w:bottom w:w="30" w:type="dxa"/>
        <w:right w:w="80" w:type="dxa"/>
      </w:tblCellMar>
    </w:tblPr>
    <w:tblStylePr w:type="firstRow">
      <w:rPr>
        <w:b/>
      </w:rPr>
      <w:tblPr/>
      <w:tcPr>
        <w:tcBorders>
          <w:bottom w:val="single" w:sz="4" w:space="0" w:color="1F3A5F"/>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Normal"/>
    <w:qFormat/>
    <w:pPr>
      <w:keepNext/>
      <w:spacing w:before="120" w:after="80"/>
      <w:jc w:val="center"/>
    </w:pPr>
    <w:rPr>
      <w:sz w:val="20"/>
      <w:szCs w:val="20"/>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F3A5F"/>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ajof.org/journal-of-finance-editor-reports/" TargetMode="External"/><Relationship Id="rId3" Type="http://schemas.openxmlformats.org/officeDocument/2006/relationships/settings" Target="settings.xml"/><Relationship Id="rId7" Type="http://schemas.openxmlformats.org/officeDocument/2006/relationships/hyperlink" Target="https://www.aeaweb.org/econlit/jelCodes.ph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4344</Words>
  <Characters>24764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Generative AI and the Productivity of Finance and Accounting Scholars</vt:lpstr>
    </vt:vector>
  </TitlesOfParts>
  <Company/>
  <LinksUpToDate>false</LinksUpToDate>
  <CharactersWithSpaces>29050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and the Productivity of Finance and Accounting Scholars</dc:title>
  <dc:creator>Mingwei Sun · School of Accounting and Finance, College of Business and Law, Adelaide University</dc:creator>
  <cp:keywords/>
  <cp:lastModifiedBy>Mingwei Sun</cp:lastModifiedBy>
  <cp:revision>2</cp:revision>
  <dcterms:created xsi:type="dcterms:W3CDTF">2026-10-23T02:55:00Z</dcterms:created>
  <dcterms:modified xsi:type="dcterms:W3CDTF">2026-10-26T23:27:00Z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Research pitch · 23 October 2026</vt:lpwstr>
  </property>
</Properties>
</file>