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1"/>
        <w:jc w:val="center"/>
        <w:rPr>
          <w:rFonts w:ascii="Google Sans" w:cs="Google Sans" w:eastAsia="Google Sans" w:hAnsi="Google Sans"/>
        </w:rPr>
      </w:pPr>
      <w:bookmarkStart w:id="0" w:name="_87tykp1u0l36" w:colFirst="0" w:colLast="0"/>
      <w:bookmarkEnd w:id="0"/>
      <w:r>
        <w:rPr>
          <w:rFonts w:ascii="Google Sans" w:cs="Google Sans" w:eastAsia="Google Sans" w:hAnsi="Google Sans"/>
        </w:rPr>
        <w:t>Controls and compliance checklist</w:t>
      </w:r>
    </w:p>
    <w:p w14:paraId="00000002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03">
      <w:pPr>
        <w:pStyle w:val="style0"/>
        <w:rPr>
          <w:rFonts w:ascii="Google Sans" w:cs="Google Sans" w:eastAsia="Google Sans" w:hAnsi="Google Sans"/>
          <w:sz w:val="24"/>
          <w:szCs w:val="24"/>
        </w:rPr>
      </w:pPr>
      <w:r>
        <w:rPr>
          <w:rFonts w:ascii="Google Sans" w:cs="Google Sans" w:eastAsia="Google Sans" w:hAnsi="Google Sans"/>
          <w:sz w:val="24"/>
          <w:szCs w:val="24"/>
        </w:rPr>
        <w:t xml:space="preserve">To complete the controls assessment checklist, refer to the information provided in the </w:t>
      </w:r>
      <w:r>
        <w:rPr/>
        <w:fldChar w:fldCharType="begin"/>
      </w:r>
      <w:r>
        <w:instrText xml:space="preserve"> HYPERLINK "https://docs.google.com/document/d/1s2u_RuhRAI40JSh-eZHvaFsV1ZMxcNSWXifHDTOsgFc/template/preview#heading=h.evidx83t54sc" </w:instrText>
      </w:r>
      <w:r>
        <w:rPr/>
        <w:fldChar w:fldCharType="separate"/>
      </w:r>
      <w:r>
        <w:rPr>
          <w:rFonts w:ascii="Google Sans" w:cs="Google Sans" w:eastAsia="Google Sans" w:hAnsi="Google Sans"/>
          <w:color w:val="1155cc"/>
          <w:sz w:val="24"/>
          <w:szCs w:val="24"/>
          <w:u w:val="single"/>
        </w:rPr>
        <w:t>scope, goals, and risk assessment report</w:t>
      </w:r>
      <w:r>
        <w:rPr/>
        <w:fldChar w:fldCharType="end"/>
      </w:r>
      <w:r>
        <w:rPr>
          <w:rFonts w:ascii="Google Sans" w:cs="Google Sans" w:eastAsia="Google Sans" w:hAnsi="Google Sans"/>
          <w:sz w:val="24"/>
          <w:szCs w:val="24"/>
        </w:rPr>
        <w:t xml:space="preserve">. For more details about each control, including the type and purpose, refer to the </w:t>
      </w:r>
      <w:r>
        <w:rPr/>
        <w:fldChar w:fldCharType="begin"/>
      </w:r>
      <w:r>
        <w:instrText xml:space="preserve"> HYPERLINK "https://docs.google.com/document/d/1btezuy_bMKWoK8pd97ZuzdWB9y6au_zfkrpkfVf8ktI/template/preview" </w:instrText>
      </w:r>
      <w:r>
        <w:rPr/>
        <w:fldChar w:fldCharType="separate"/>
      </w:r>
      <w:r>
        <w:rPr>
          <w:rFonts w:ascii="Google Sans" w:cs="Google Sans" w:eastAsia="Google Sans" w:hAnsi="Google Sans"/>
          <w:color w:val="1155cc"/>
          <w:sz w:val="24"/>
          <w:szCs w:val="24"/>
          <w:u w:val="single"/>
        </w:rPr>
        <w:t>control categories</w:t>
      </w:r>
      <w:r>
        <w:rPr/>
        <w:fldChar w:fldCharType="end"/>
      </w:r>
      <w:r>
        <w:rPr>
          <w:rFonts w:ascii="Google Sans" w:cs="Google Sans" w:eastAsia="Google Sans" w:hAnsi="Google Sans"/>
          <w:sz w:val="24"/>
          <w:szCs w:val="24"/>
        </w:rPr>
        <w:t xml:space="preserve"> document.</w:t>
      </w:r>
    </w:p>
    <w:p w14:paraId="00000004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05">
      <w:pPr>
        <w:pStyle w:val="style0"/>
        <w:rPr>
          <w:rFonts w:ascii="Google Sans" w:cs="Google Sans" w:eastAsia="Google Sans" w:hAnsi="Google Sans"/>
          <w:i/>
          <w:iCs/>
          <w:sz w:val="24"/>
          <w:szCs w:val="24"/>
        </w:rPr>
      </w:pPr>
      <w:r>
        <w:rPr>
          <w:rFonts w:ascii="Google Sans" w:cs="Google Sans" w:eastAsia="Google Sans" w:hAnsi="Google Sans"/>
          <w:sz w:val="24"/>
          <w:szCs w:val="24"/>
        </w:rPr>
        <w:t xml:space="preserve">Then, select “yes” or “no” to answer the question: </w:t>
      </w:r>
      <w:r>
        <w:rPr>
          <w:rFonts w:ascii="Google Sans" w:cs="Google Sans" w:eastAsia="Google Sans" w:hAnsi="Google Sans"/>
          <w:i/>
          <w:iCs/>
          <w:sz w:val="24"/>
          <w:szCs w:val="24"/>
        </w:rPr>
        <w:t xml:space="preserve">Does Botium Toys currently have this control in place? </w:t>
      </w:r>
    </w:p>
    <w:p w14:paraId="00000006">
      <w:pPr>
        <w:pStyle w:val="style0"/>
        <w:rPr>
          <w:rFonts w:ascii="Google Sans" w:cs="Google Sans" w:eastAsia="Google Sans" w:hAnsi="Google Sans"/>
        </w:rPr>
      </w:pPr>
    </w:p>
    <w:p w14:paraId="00000007">
      <w:pPr>
        <w:pStyle w:val="style0"/>
        <w:rPr>
          <w:rFonts w:ascii="Google Sans" w:cs="Google Sans" w:eastAsia="Google Sans" w:hAnsi="Google Sans"/>
        </w:rPr>
      </w:pPr>
    </w:p>
    <w:p w14:paraId="00000008">
      <w:pPr>
        <w:pStyle w:val="style0"/>
        <w:rPr>
          <w:rFonts w:ascii="Google Sans" w:cs="Google Sans" w:eastAsia="Google Sans" w:hAnsi="Google Sans"/>
          <w:sz w:val="26"/>
          <w:szCs w:val="26"/>
        </w:rPr>
      </w:pPr>
      <w:r>
        <w:rPr>
          <w:rFonts w:ascii="Google Sans" w:cs="Google Sans" w:eastAsia="Google Sans" w:hAnsi="Google Sans"/>
          <w:b/>
          <w:bCs/>
          <w:sz w:val="24"/>
          <w:szCs w:val="24"/>
        </w:rPr>
        <w:t>Controls assessment checklist</w:t>
      </w:r>
    </w:p>
    <w:p w14:paraId="00000009">
      <w:pPr>
        <w:pStyle w:val="style0"/>
        <w:rPr>
          <w:rFonts w:ascii="Google Sans" w:cs="Google Sans" w:eastAsia="Google Sans" w:hAnsi="Google Sans"/>
        </w:rPr>
      </w:pPr>
    </w:p>
    <w:tbl>
      <w:tblPr>
        <w:tblStyle w:val="style4099"/>
        <w:tblW w:w="9360" w:type="dxa"/>
        <w:jc w:val="lef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14:paraId="2826CF74"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>
            <w:pPr>
              <w:pStyle w:val="style0"/>
              <w:widowControl w:val="false"/>
              <w:spacing w:lineRule="auto" w:line="240"/>
              <w:jc w:val="right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 xml:space="preserve">  Yes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>
            <w:pPr>
              <w:pStyle w:val="style0"/>
              <w:widowControl w:val="false"/>
              <w:spacing w:lineRule="auto" w:line="240"/>
              <w:jc w:val="center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 xml:space="preserve">    No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>Control</w:t>
            </w:r>
          </w:p>
        </w:tc>
      </w:tr>
      <w:tr w14:paraId="EAA11449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>
            <w:pPr>
              <w:pStyle w:val="style0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>
            <w:pPr>
              <w:pStyle w:val="style0"/>
              <w:widowControl w:val="false"/>
              <w:numPr>
                <w:ilvl w:val="0"/>
                <w:numId w:val="5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Least Privilege</w:t>
            </w:r>
          </w:p>
        </w:tc>
      </w:tr>
      <w:tr w14:paraId="FD4973C9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>
            <w:pPr>
              <w:pStyle w:val="style0"/>
              <w:widowControl w:val="false"/>
              <w:numPr>
                <w:ilvl w:val="0"/>
                <w:numId w:val="20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>
            <w:pPr>
              <w:pStyle w:val="style0"/>
              <w:widowControl w:val="false"/>
              <w:numPr>
                <w:ilvl w:val="0"/>
                <w:numId w:val="13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>
            <w:pPr>
              <w:pStyle w:val="style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Disaster recovery plans</w:t>
            </w:r>
          </w:p>
        </w:tc>
      </w:tr>
      <w:tr w14:paraId="BA3111A7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>
            <w:pPr>
              <w:pStyle w:val="style0"/>
              <w:widowControl w:val="false"/>
              <w:numPr>
                <w:ilvl w:val="0"/>
                <w:numId w:val="16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>
            <w:pPr>
              <w:pStyle w:val="style0"/>
              <w:widowControl w:val="false"/>
              <w:numPr>
                <w:ilvl w:val="0"/>
                <w:numId w:val="4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Password policies</w:t>
            </w:r>
          </w:p>
        </w:tc>
      </w:tr>
      <w:tr w14:paraId="01AAF6BB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>
            <w:pPr>
              <w:pStyle w:val="style0"/>
              <w:widowControl w:val="false"/>
              <w:numPr>
                <w:ilvl w:val="0"/>
                <w:numId w:val="14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>
            <w:pPr>
              <w:pStyle w:val="style0"/>
              <w:widowControl w:val="false"/>
              <w:numPr>
                <w:ilvl w:val="0"/>
                <w:numId w:val="12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Separation of duties</w:t>
            </w:r>
          </w:p>
        </w:tc>
      </w:tr>
      <w:tr w14:paraId="3B5E6611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>
            <w:pPr>
              <w:pStyle w:val="style0"/>
              <w:widowControl w:val="false"/>
              <w:numPr>
                <w:ilvl w:val="0"/>
                <w:numId w:val="6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pStyle w:val="style0"/>
              <w:widowControl w:val="false"/>
              <w:numPr>
                <w:ilvl w:val="0"/>
                <w:numId w:val="11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Firewall</w:t>
            </w:r>
          </w:p>
        </w:tc>
      </w:tr>
      <w:tr w14:paraId="A7A1EF50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>
            <w:pPr>
              <w:pStyle w:val="style0"/>
              <w:widowControl w:val="false"/>
              <w:numPr>
                <w:ilvl w:val="0"/>
                <w:numId w:val="17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>
            <w:pPr>
              <w:pStyle w:val="style0"/>
              <w:widowControl w:val="false"/>
              <w:numPr>
                <w:ilvl w:val="0"/>
                <w:numId w:val="18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Intrusion detection system (IDS)</w:t>
            </w:r>
          </w:p>
        </w:tc>
      </w:tr>
      <w:tr w14:paraId="00B4289E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>
            <w:pPr>
              <w:pStyle w:val="style0"/>
              <w:widowControl w:val="false"/>
              <w:numPr>
                <w:ilvl w:val="0"/>
                <w:numId w:val="3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pStyle w:val="style0"/>
              <w:widowControl w:val="false"/>
              <w:numPr>
                <w:ilvl w:val="0"/>
                <w:numId w:val="19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Backups</w:t>
            </w:r>
          </w:p>
        </w:tc>
      </w:tr>
      <w:tr w14:paraId="12FC2E07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>
            <w:pPr>
              <w:pStyle w:val="style0"/>
              <w:widowControl w:val="false"/>
              <w:numPr>
                <w:ilvl w:val="0"/>
                <w:numId w:val="15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>
            <w:pPr>
              <w:pStyle w:val="style0"/>
              <w:widowControl w:val="false"/>
              <w:numPr>
                <w:ilvl w:val="0"/>
                <w:numId w:val="9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Antivirus software</w:t>
            </w:r>
          </w:p>
        </w:tc>
      </w:tr>
      <w:tr w14:paraId="436097D0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>
            <w:pPr>
              <w:pStyle w:val="style0"/>
              <w:widowControl w:val="false"/>
              <w:numPr>
                <w:ilvl w:val="0"/>
                <w:numId w:val="2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>
            <w:pPr>
              <w:pStyle w:val="style0"/>
              <w:widowControl w:val="false"/>
              <w:numPr>
                <w:ilvl w:val="0"/>
                <w:numId w:val="10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14:paraId="1FFFCF81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>
            <w:pPr>
              <w:pStyle w:val="style0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>
            <w:pPr>
              <w:pStyle w:val="style0"/>
              <w:widowControl w:val="false"/>
              <w:numPr>
                <w:ilvl w:val="0"/>
                <w:numId w:val="5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Encryption</w:t>
            </w:r>
          </w:p>
        </w:tc>
      </w:tr>
      <w:tr w14:paraId="5CD1235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>
            <w:pPr>
              <w:pStyle w:val="style0"/>
              <w:widowControl w:val="false"/>
              <w:numPr>
                <w:ilvl w:val="0"/>
                <w:numId w:val="20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>
            <w:pPr>
              <w:pStyle w:val="style0"/>
              <w:widowControl w:val="false"/>
              <w:numPr>
                <w:ilvl w:val="0"/>
                <w:numId w:val="13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Password management system</w:t>
            </w:r>
          </w:p>
        </w:tc>
      </w:tr>
      <w:tr w14:paraId="C3751D5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>
            <w:pPr>
              <w:pStyle w:val="style0"/>
              <w:widowControl w:val="false"/>
              <w:numPr>
                <w:ilvl w:val="0"/>
                <w:numId w:val="20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>
            <w:pPr>
              <w:pStyle w:val="style0"/>
              <w:widowControl w:val="false"/>
              <w:numPr>
                <w:ilvl w:val="0"/>
                <w:numId w:val="13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Locks (offices, storefront, warehouse)</w:t>
            </w:r>
          </w:p>
        </w:tc>
      </w:tr>
      <w:tr w14:paraId="D84EAC90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>
            <w:pPr>
              <w:pStyle w:val="style0"/>
              <w:widowControl w:val="false"/>
              <w:numPr>
                <w:ilvl w:val="0"/>
                <w:numId w:val="16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>
            <w:pPr>
              <w:pStyle w:val="style0"/>
              <w:widowControl w:val="false"/>
              <w:numPr>
                <w:ilvl w:val="0"/>
                <w:numId w:val="4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Closed-circuit television (CCTV) surveillance</w:t>
            </w:r>
          </w:p>
        </w:tc>
      </w:tr>
      <w:tr w14:paraId="2C20236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>
            <w:pPr>
              <w:pStyle w:val="style0"/>
              <w:widowControl w:val="false"/>
              <w:numPr>
                <w:ilvl w:val="0"/>
                <w:numId w:val="8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trike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>
            <w:pPr>
              <w:pStyle w:val="style0"/>
              <w:widowControl w:val="false"/>
              <w:numPr>
                <w:ilvl w:val="0"/>
                <w:numId w:val="7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00000037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38">
      <w:pPr>
        <w:pStyle w:val="style0"/>
        <w:rPr>
          <w:rFonts w:ascii="Google Sans" w:cs="Google Sans" w:eastAsia="Google Sans" w:hAnsi="Google Sans"/>
          <w:sz w:val="24"/>
          <w:szCs w:val="24"/>
        </w:rPr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039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3A">
      <w:pPr>
        <w:pStyle w:val="style0"/>
        <w:rPr>
          <w:rFonts w:ascii="Google Sans" w:cs="Google Sans" w:eastAsia="Google Sans" w:hAnsi="Google Sans"/>
          <w:sz w:val="24"/>
          <w:szCs w:val="24"/>
        </w:rPr>
      </w:pPr>
      <w:r>
        <w:rPr>
          <w:rFonts w:ascii="Google Sans" w:cs="Google Sans" w:eastAsia="Google Sans" w:hAnsi="Google Sans"/>
          <w:sz w:val="24"/>
          <w:szCs w:val="24"/>
        </w:rPr>
        <w:t xml:space="preserve">To complete the compliance checklist, refer to the information provided in the </w:t>
      </w:r>
      <w:r>
        <w:rPr/>
        <w:fldChar w:fldCharType="begin"/>
      </w:r>
      <w:r>
        <w:instrText xml:space="preserve"> HYPERLINK "https://docs.google.com/document/d/1s2u_RuhRAI40JSh-eZHvaFsV1ZMxcNSWXifHDTOsgFc/template/preview" </w:instrText>
      </w:r>
      <w:r>
        <w:rPr/>
        <w:fldChar w:fldCharType="separate"/>
      </w:r>
      <w:r>
        <w:rPr>
          <w:rFonts w:ascii="Google Sans" w:cs="Google Sans" w:eastAsia="Google Sans" w:hAnsi="Google Sans"/>
          <w:color w:val="1155cc"/>
          <w:sz w:val="24"/>
          <w:szCs w:val="24"/>
          <w:u w:val="single"/>
        </w:rPr>
        <w:t>scope, goals, and risk assessment report</w:t>
      </w:r>
      <w:r>
        <w:rPr/>
        <w:fldChar w:fldCharType="end"/>
      </w:r>
      <w:r>
        <w:rPr>
          <w:rFonts w:ascii="Google Sans" w:cs="Google Sans" w:eastAsia="Google Sans" w:hAnsi="Google Sans"/>
          <w:sz w:val="24"/>
          <w:szCs w:val="24"/>
        </w:rPr>
        <w:t xml:space="preserve">. For more details about each compliance regulation, review the </w:t>
      </w:r>
      <w:r>
        <w:rPr/>
        <w:fldChar w:fldCharType="begin"/>
      </w:r>
      <w:r>
        <w:instrText xml:space="preserve"> HYPERLINK "https://www.coursera.org/learn/foundations-of-cybersecurity/supplement/xu4pr/controls-frameworks-and-compliance" </w:instrText>
      </w:r>
      <w:r>
        <w:rPr/>
        <w:fldChar w:fldCharType="separate"/>
      </w:r>
      <w:r>
        <w:rPr>
          <w:rFonts w:ascii="Google Sans" w:cs="Google Sans" w:eastAsia="Google Sans" w:hAnsi="Google Sans"/>
          <w:color w:val="1155cc"/>
          <w:sz w:val="24"/>
          <w:szCs w:val="24"/>
          <w:u w:val="single"/>
        </w:rPr>
        <w:t>controls, frameworks, and compliance</w:t>
      </w:r>
      <w:r>
        <w:rPr/>
        <w:fldChar w:fldCharType="end"/>
      </w:r>
      <w:r>
        <w:rPr>
          <w:rFonts w:ascii="Google Sans" w:cs="Google Sans" w:eastAsia="Google Sans" w:hAnsi="Google Sans"/>
          <w:sz w:val="24"/>
          <w:szCs w:val="24"/>
        </w:rPr>
        <w:t xml:space="preserve"> reading.</w:t>
      </w:r>
    </w:p>
    <w:p w14:paraId="0000003B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3C">
      <w:pPr>
        <w:pStyle w:val="style0"/>
        <w:rPr>
          <w:rFonts w:ascii="Google Sans" w:cs="Google Sans" w:eastAsia="Google Sans" w:hAnsi="Google Sans"/>
          <w:i/>
          <w:iCs/>
          <w:sz w:val="24"/>
          <w:szCs w:val="24"/>
        </w:rPr>
      </w:pPr>
      <w:r>
        <w:rPr>
          <w:rFonts w:ascii="Google Sans" w:cs="Google Sans" w:eastAsia="Google Sans" w:hAnsi="Google Sans"/>
          <w:sz w:val="24"/>
          <w:szCs w:val="24"/>
        </w:rPr>
        <w:t xml:space="preserve">Then, select “yes” or “no” to answer the question: </w:t>
      </w:r>
      <w:r>
        <w:rPr>
          <w:rFonts w:ascii="Google Sans" w:cs="Google Sans" w:eastAsia="Google Sans" w:hAnsi="Google Sans"/>
          <w:i/>
          <w:iCs/>
          <w:sz w:val="24"/>
          <w:szCs w:val="24"/>
        </w:rPr>
        <w:t>Does Botium Toys currently adhere to this compliance best practice?</w:t>
      </w:r>
    </w:p>
    <w:p w14:paraId="0000003D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3E">
      <w:pPr>
        <w:pStyle w:val="style0"/>
        <w:rPr>
          <w:rFonts w:ascii="Google Sans" w:cs="Google Sans" w:eastAsia="Google Sans" w:hAnsi="Google Sans"/>
          <w:sz w:val="24"/>
          <w:szCs w:val="24"/>
        </w:rPr>
      </w:pPr>
      <w:r>
        <w:rPr>
          <w:rFonts w:ascii="Google Sans" w:cs="Google Sans" w:eastAsia="Google Sans" w:hAnsi="Google Sans"/>
          <w:b/>
          <w:bCs/>
          <w:sz w:val="24"/>
          <w:szCs w:val="24"/>
        </w:rPr>
        <w:t>Compliance checklist</w:t>
      </w:r>
    </w:p>
    <w:p w14:paraId="0000003F">
      <w:pPr>
        <w:pStyle w:val="style0"/>
        <w:rPr>
          <w:rFonts w:ascii="Google Sans" w:cs="Google Sans" w:eastAsia="Google Sans" w:hAnsi="Google Sans"/>
          <w:b/>
          <w:bCs/>
          <w:sz w:val="24"/>
          <w:szCs w:val="24"/>
        </w:rPr>
      </w:pPr>
    </w:p>
    <w:p w14:paraId="00000040">
      <w:pPr>
        <w:pStyle w:val="style0"/>
        <w:spacing w:after="200" w:lineRule="auto" w:line="360"/>
        <w:rPr>
          <w:rFonts w:ascii="Google Sans" w:cs="Google Sans" w:eastAsia="Google Sans" w:hAnsi="Google Sans"/>
          <w:sz w:val="24"/>
          <w:szCs w:val="24"/>
          <w:u w:val="single"/>
        </w:rPr>
      </w:pPr>
      <w:r>
        <w:rPr>
          <w:rFonts w:ascii="Google Sans" w:cs="Google Sans" w:eastAsia="Google Sans" w:hAnsi="Google Sans"/>
          <w:sz w:val="24"/>
          <w:szCs w:val="24"/>
          <w:u w:val="single"/>
        </w:rPr>
        <w:t>Payment Card Industry Data Security Standard (PCI DSS)</w:t>
      </w:r>
    </w:p>
    <w:tbl>
      <w:tblPr>
        <w:tblStyle w:val="style4100"/>
        <w:tblW w:w="9360" w:type="dxa"/>
        <w:jc w:val="lef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14:paraId="26793095"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>
            <w:pPr>
              <w:pStyle w:val="style0"/>
              <w:widowControl w:val="false"/>
              <w:spacing w:lineRule="auto" w:line="240"/>
              <w:jc w:val="right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>
            <w:pPr>
              <w:pStyle w:val="style0"/>
              <w:widowControl w:val="false"/>
              <w:spacing w:lineRule="auto" w:line="240"/>
              <w:jc w:val="center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 xml:space="preserve">    No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>Best practice</w:t>
            </w:r>
          </w:p>
        </w:tc>
      </w:tr>
      <w:tr w14:paraId="FBE43479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>
            <w:pPr>
              <w:pStyle w:val="style0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>
            <w:pPr>
              <w:pStyle w:val="style0"/>
              <w:widowControl w:val="false"/>
              <w:numPr>
                <w:ilvl w:val="0"/>
                <w:numId w:val="5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>
            <w:pPr>
              <w:pStyle w:val="style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14:paraId="EBBB849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>
            <w:pPr>
              <w:pStyle w:val="style0"/>
              <w:widowControl w:val="false"/>
              <w:numPr>
                <w:ilvl w:val="0"/>
                <w:numId w:val="20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>
            <w:pPr>
              <w:pStyle w:val="style0"/>
              <w:widowControl w:val="false"/>
              <w:numPr>
                <w:ilvl w:val="0"/>
                <w:numId w:val="13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14:paraId="36689195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>
            <w:pPr>
              <w:pStyle w:val="style0"/>
              <w:widowControl w:val="false"/>
              <w:numPr>
                <w:ilvl w:val="0"/>
                <w:numId w:val="16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>
            <w:pPr>
              <w:pStyle w:val="style0"/>
              <w:widowControl w:val="false"/>
              <w:numPr>
                <w:ilvl w:val="0"/>
                <w:numId w:val="4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14:paraId="D227FA6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>
            <w:pPr>
              <w:pStyle w:val="style0"/>
              <w:widowControl w:val="false"/>
              <w:numPr>
                <w:ilvl w:val="0"/>
                <w:numId w:val="14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>
            <w:pPr>
              <w:pStyle w:val="style0"/>
              <w:widowControl w:val="false"/>
              <w:numPr>
                <w:ilvl w:val="0"/>
                <w:numId w:val="12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00000050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51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52">
      <w:pPr>
        <w:pStyle w:val="style0"/>
        <w:spacing w:after="200" w:lineRule="auto" w:line="360"/>
        <w:rPr>
          <w:rFonts w:ascii="Google Sans" w:cs="Google Sans" w:eastAsia="Google Sans" w:hAnsi="Google Sans"/>
          <w:sz w:val="24"/>
          <w:szCs w:val="24"/>
          <w:u w:val="single"/>
        </w:rPr>
      </w:pPr>
      <w:r>
        <w:rPr>
          <w:rFonts w:ascii="Google Sans" w:cs="Google Sans" w:eastAsia="Google Sans" w:hAnsi="Google Sans"/>
          <w:sz w:val="24"/>
          <w:szCs w:val="24"/>
          <w:u w:val="single"/>
        </w:rPr>
        <w:t>General Data Protection Regulation (GDPR)</w:t>
      </w:r>
    </w:p>
    <w:tbl>
      <w:tblPr>
        <w:tblStyle w:val="style4101"/>
        <w:tblW w:w="9360" w:type="dxa"/>
        <w:jc w:val="lef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14:paraId="954055E4"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>
            <w:pPr>
              <w:pStyle w:val="style0"/>
              <w:widowControl w:val="false"/>
              <w:spacing w:lineRule="auto" w:line="240"/>
              <w:jc w:val="right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>
            <w:pPr>
              <w:pStyle w:val="style0"/>
              <w:widowControl w:val="false"/>
              <w:spacing w:lineRule="auto" w:line="240"/>
              <w:jc w:val="center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 xml:space="preserve">    No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>Best practice</w:t>
            </w:r>
          </w:p>
        </w:tc>
      </w:tr>
      <w:tr w14:paraId="9D973A5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>
            <w:pPr>
              <w:pStyle w:val="style0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>
            <w:pPr>
              <w:pStyle w:val="style0"/>
              <w:widowControl w:val="false"/>
              <w:numPr>
                <w:ilvl w:val="0"/>
                <w:numId w:val="5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>
            <w:pPr>
              <w:pStyle w:val="style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E.U. customers’ data is kept private/secured.</w:t>
            </w:r>
          </w:p>
        </w:tc>
      </w:tr>
      <w:tr w14:paraId="53A39C7C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>
            <w:pPr>
              <w:pStyle w:val="style0"/>
              <w:widowControl w:val="false"/>
              <w:numPr>
                <w:ilvl w:val="0"/>
                <w:numId w:val="20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>
            <w:pPr>
              <w:pStyle w:val="style0"/>
              <w:widowControl w:val="false"/>
              <w:numPr>
                <w:ilvl w:val="0"/>
                <w:numId w:val="13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14:paraId="4C01C213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C">
            <w:pPr>
              <w:pStyle w:val="style0"/>
              <w:widowControl w:val="false"/>
              <w:numPr>
                <w:ilvl w:val="0"/>
                <w:numId w:val="16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D">
            <w:pPr>
              <w:pStyle w:val="style0"/>
              <w:widowControl w:val="false"/>
              <w:numPr>
                <w:ilvl w:val="0"/>
                <w:numId w:val="4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Ensure data is properly classified and inventoried.</w:t>
            </w:r>
          </w:p>
        </w:tc>
      </w:tr>
      <w:tr w14:paraId="7F38027B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>
            <w:pPr>
              <w:pStyle w:val="style0"/>
              <w:widowControl w:val="false"/>
              <w:numPr>
                <w:ilvl w:val="0"/>
                <w:numId w:val="14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0">
            <w:pPr>
              <w:pStyle w:val="style0"/>
              <w:widowControl w:val="false"/>
              <w:numPr>
                <w:ilvl w:val="0"/>
                <w:numId w:val="12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00000062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63">
      <w:pPr>
        <w:pStyle w:val="style0"/>
        <w:rPr>
          <w:rFonts w:ascii="Google Sans" w:cs="Google Sans" w:eastAsia="Google Sans" w:hAnsi="Google Sans"/>
          <w:sz w:val="24"/>
          <w:szCs w:val="24"/>
        </w:rPr>
      </w:pPr>
    </w:p>
    <w:p w14:paraId="00000064">
      <w:pPr>
        <w:pStyle w:val="style0"/>
        <w:spacing w:after="200" w:lineRule="auto" w:line="360"/>
        <w:rPr>
          <w:rFonts w:ascii="Google Sans" w:cs="Google Sans" w:eastAsia="Google Sans" w:hAnsi="Google Sans"/>
          <w:sz w:val="24"/>
          <w:szCs w:val="24"/>
        </w:rPr>
      </w:pPr>
      <w:r>
        <w:rPr>
          <w:rFonts w:ascii="Google Sans" w:cs="Google Sans" w:eastAsia="Google Sans" w:hAnsi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cs="Google Sans" w:eastAsia="Google Sans" w:hAnsi="Google Sans"/>
          <w:sz w:val="24"/>
          <w:szCs w:val="24"/>
        </w:rPr>
        <w:t xml:space="preserve"> </w:t>
      </w:r>
    </w:p>
    <w:tbl>
      <w:tblPr>
        <w:tblStyle w:val="style4102"/>
        <w:tblW w:w="9360" w:type="dxa"/>
        <w:jc w:val="lef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14:paraId="35F43D67"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>
            <w:pPr>
              <w:pStyle w:val="style0"/>
              <w:widowControl w:val="false"/>
              <w:spacing w:lineRule="auto" w:line="240"/>
              <w:jc w:val="right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>
            <w:pPr>
              <w:pStyle w:val="style0"/>
              <w:widowControl w:val="false"/>
              <w:spacing w:lineRule="auto" w:line="240"/>
              <w:jc w:val="center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 xml:space="preserve">    No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b/>
                <w:bCs/>
                <w:sz w:val="24"/>
                <w:szCs w:val="24"/>
              </w:rPr>
              <w:t>Best practice</w:t>
            </w:r>
          </w:p>
        </w:tc>
      </w:tr>
      <w:tr w14:paraId="4FE142F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8">
            <w:pPr>
              <w:pStyle w:val="style0"/>
              <w:widowControl w:val="false"/>
              <w:numPr>
                <w:ilvl w:val="0"/>
                <w:numId w:val="1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9">
            <w:pPr>
              <w:pStyle w:val="style0"/>
              <w:widowControl w:val="false"/>
              <w:numPr>
                <w:ilvl w:val="0"/>
                <w:numId w:val="5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>
            <w:pPr>
              <w:pStyle w:val="style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User access policies are established.</w:t>
            </w:r>
          </w:p>
        </w:tc>
      </w:tr>
      <w:tr w14:paraId="D2C7FCB6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B">
            <w:pPr>
              <w:pStyle w:val="style0"/>
              <w:widowControl w:val="false"/>
              <w:numPr>
                <w:ilvl w:val="0"/>
                <w:numId w:val="20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C">
            <w:pPr>
              <w:pStyle w:val="style0"/>
              <w:widowControl w:val="false"/>
              <w:numPr>
                <w:ilvl w:val="0"/>
                <w:numId w:val="13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D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Sensitive data (PII/SPII) is confidential/private.</w:t>
            </w:r>
          </w:p>
        </w:tc>
      </w:tr>
      <w:tr w14:paraId="6B551A99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E">
            <w:pPr>
              <w:pStyle w:val="style0"/>
              <w:widowControl w:val="false"/>
              <w:numPr>
                <w:ilvl w:val="0"/>
                <w:numId w:val="16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>
            <w:pPr>
              <w:pStyle w:val="style0"/>
              <w:widowControl w:val="false"/>
              <w:numPr>
                <w:ilvl w:val="0"/>
                <w:numId w:val="4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0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14:paraId="A4787963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1">
            <w:pPr>
              <w:pStyle w:val="style0"/>
              <w:widowControl w:val="false"/>
              <w:numPr>
                <w:ilvl w:val="0"/>
                <w:numId w:val="14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2">
            <w:pPr>
              <w:pStyle w:val="style0"/>
              <w:widowControl w:val="false"/>
              <w:numPr>
                <w:ilvl w:val="0"/>
                <w:numId w:val="12"/>
              </w:numPr>
              <w:spacing w:lineRule="auto" w:line="240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>
            <w:pPr>
              <w:pStyle w:val="style0"/>
              <w:widowControl w:val="false"/>
              <w:spacing w:lineRule="auto" w:line="240"/>
              <w:rPr>
                <w:rFonts w:ascii="Google Sans" w:cs="Google Sans" w:eastAsia="Google Sans" w:hAnsi="Google Sans"/>
                <w:sz w:val="24"/>
                <w:szCs w:val="24"/>
              </w:rPr>
            </w:pPr>
            <w:r>
              <w:rPr>
                <w:rFonts w:ascii="Google Sans" w:cs="Google Sans" w:eastAsia="Google Sans" w:hAnsi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00000074">
      <w:pPr>
        <w:pStyle w:val="style0"/>
        <w:spacing w:after="200" w:lineRule="auto" w:line="360"/>
        <w:rPr>
          <w:rFonts w:ascii="Google Sans" w:cs="Google Sans" w:eastAsia="Google Sans" w:hAnsi="Google Sans"/>
          <w:sz w:val="24"/>
          <w:szCs w:val="24"/>
        </w:rPr>
      </w:pPr>
    </w:p>
    <w:p w14:paraId="00000075">
      <w:pPr>
        <w:pStyle w:val="style0"/>
        <w:spacing w:after="200" w:lineRule="auto" w:line="360"/>
        <w:rPr>
          <w:rFonts w:ascii="Google Sans" w:cs="Google Sans" w:eastAsia="Google Sans" w:hAnsi="Google Sans"/>
          <w:sz w:val="24"/>
          <w:szCs w:val="24"/>
        </w:rPr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076">
      <w:pPr>
        <w:pStyle w:val="style0"/>
        <w:spacing w:after="200" w:lineRule="auto" w:line="360"/>
        <w:rPr>
          <w:rFonts w:ascii="Google Sans" w:cs="Google Sans" w:eastAsia="Google Sans" w:hAnsi="Google Sans"/>
          <w:sz w:val="24"/>
          <w:szCs w:val="24"/>
        </w:rPr>
      </w:pPr>
      <w:r>
        <w:rPr>
          <w:rFonts w:ascii="Google Sans" w:cs="Google Sans" w:eastAsia="Google Sans" w:hAnsi="Google Sans"/>
          <w:sz w:val="24"/>
          <w:szCs w:val="24"/>
        </w:rPr>
        <w:t xml:space="preserve">This section is </w:t>
      </w:r>
      <w:r>
        <w:rPr>
          <w:rFonts w:ascii="Google Sans" w:cs="Google Sans" w:eastAsia="Google Sans" w:hAnsi="Google Sans"/>
          <w:i/>
          <w:iCs/>
          <w:sz w:val="24"/>
          <w:szCs w:val="24"/>
        </w:rPr>
        <w:t>optional</w:t>
      </w:r>
      <w:r>
        <w:rPr>
          <w:rFonts w:ascii="Google Sans" w:cs="Google Sans" w:eastAsia="Google Sans" w:hAnsi="Google Sans"/>
          <w:sz w:val="24"/>
          <w:szCs w:val="24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14:paraId="00000077">
      <w:pPr>
        <w:pStyle w:val="style0"/>
        <w:spacing w:after="200" w:lineRule="auto" w:line="360"/>
        <w:rPr/>
      </w:pPr>
      <w:r>
        <w:rPr>
          <w:rFonts w:ascii="Google Sans" w:cs="Google Sans" w:eastAsia="Google Sans" w:hAnsi="Google Sans"/>
          <w:b/>
          <w:bCs/>
          <w:sz w:val="24"/>
          <w:szCs w:val="24"/>
        </w:rPr>
        <w:t xml:space="preserve">Recommendations (optional): </w:t>
      </w:r>
      <w:r>
        <w:rPr>
          <w:rFonts w:ascii="Google Sans" w:cs="Google Sans" w:eastAsia="Google Sans" w:hAnsi="Google Sans"/>
          <w:sz w:val="24"/>
          <w:szCs w:val="24"/>
        </w:rPr>
        <w:t>In this section, provide recommendations, related to controls and/or compliance needs, that your IT manager could communicate to stakeholders to reduce risks to assets and improve Botium Toys’ security posture.</w:t>
      </w:r>
    </w:p>
    <w:p w14:paraId="00000078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nsid w:val="000000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nsid w:val="000000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nsid w:val="000000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nsid w:val="000000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nsid w:val="000000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nsid w:val="000000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nsid w:val="000000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blStylePr w:type="firstRow">
      <w:pPr/>
      <w:tcPr>
        <w:tcBorders/>
      </w:tcPr>
    </w:tblStylePr>
    <w:tblStylePr w:type="lastRow">
      <w:pPr/>
      <w:tcPr>
        <w:tcBorders/>
      </w:tcPr>
    </w:tblStylePr>
    <w:tblStylePr w:type="band1Horz">
      <w:pPr/>
      <w:tcPr>
        <w:tcBorders/>
      </w:tcPr>
    </w:tblStylePr>
    <w:tblStylePr w:type="band2Horz">
      <w:pPr/>
      <w:tcPr>
        <w:tcBorders/>
      </w:tcPr>
    </w:tblStylePr>
    <w:tblStylePr w:type="firstCol">
      <w:pPr/>
      <w:tcPr>
        <w:tcBorders/>
      </w:tcPr>
    </w:tblStylePr>
    <w:tblStylePr w:type="lastCol">
      <w:pPr/>
      <w:tcPr>
        <w:tcBorders/>
      </w:tcPr>
    </w:tblStylePr>
    <w:tblStylePr w:type="band1Vert">
      <w:pPr/>
      <w:tcPr>
        <w:tcBorders/>
      </w:tcPr>
    </w:tblStylePr>
    <w:tblStylePr w:type="band2Vert">
      <w:pPr/>
      <w:tcPr>
        <w:tcBorders/>
      </w:tcPr>
    </w:tblStylePr>
    <w:tblStylePr w:type="neCell">
      <w:pPr/>
      <w:tcPr>
        <w:tcBorders/>
      </w:tcPr>
    </w:tblStylePr>
    <w:tblStylePr w:type="nwCell">
      <w:pPr/>
      <w:tcPr>
        <w:tcBorders/>
      </w:tcPr>
    </w:tblStylePr>
    <w:tblStylePr w:type="seCell">
      <w:pPr/>
      <w:tcPr>
        <w:tcBorders/>
      </w:tcPr>
    </w:tblStylePr>
    <w:tblStylePr w:type="swCell">
      <w:pPr/>
      <w:tcPr>
        <w:tcBorders/>
      </w:tcPr>
    </w:tblStyle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blStylePr w:type="firstRow">
      <w:pPr/>
      <w:tcPr>
        <w:tcBorders/>
      </w:tcPr>
    </w:tblStylePr>
    <w:tblStylePr w:type="lastRow">
      <w:pPr/>
      <w:tcPr>
        <w:tcBorders/>
      </w:tcPr>
    </w:tblStylePr>
    <w:tblStylePr w:type="band1Horz">
      <w:pPr/>
      <w:tcPr>
        <w:tcBorders/>
      </w:tcPr>
    </w:tblStylePr>
    <w:tblStylePr w:type="band2Horz">
      <w:pPr/>
      <w:tcPr>
        <w:tcBorders/>
      </w:tcPr>
    </w:tblStylePr>
    <w:tblStylePr w:type="firstCol">
      <w:pPr/>
      <w:tcPr>
        <w:tcBorders/>
      </w:tcPr>
    </w:tblStylePr>
    <w:tblStylePr w:type="lastCol">
      <w:pPr/>
      <w:tcPr>
        <w:tcBorders/>
      </w:tcPr>
    </w:tblStylePr>
    <w:tblStylePr w:type="band1Vert">
      <w:pPr/>
      <w:tcPr>
        <w:tcBorders/>
      </w:tcPr>
    </w:tblStylePr>
    <w:tblStylePr w:type="band2Vert">
      <w:pPr/>
      <w:tcPr>
        <w:tcBorders/>
      </w:tcPr>
    </w:tblStylePr>
    <w:tblStylePr w:type="neCell">
      <w:pPr/>
      <w:tcPr>
        <w:tcBorders/>
      </w:tcPr>
    </w:tblStylePr>
    <w:tblStylePr w:type="nwCell">
      <w:pPr/>
      <w:tcPr>
        <w:tcBorders/>
      </w:tcPr>
    </w:tblStylePr>
    <w:tblStylePr w:type="seCell">
      <w:pPr/>
      <w:tcPr>
        <w:tcBorders/>
      </w:tcPr>
    </w:tblStylePr>
    <w:tblStylePr w:type="swCell">
      <w:pPr/>
      <w:tcPr>
        <w:tcBorders/>
      </w:tcPr>
    </w:tblStyle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blStylePr w:type="firstRow">
      <w:pPr/>
      <w:tcPr>
        <w:tcBorders/>
      </w:tcPr>
    </w:tblStylePr>
    <w:tblStylePr w:type="lastRow">
      <w:pPr/>
      <w:tcPr>
        <w:tcBorders/>
      </w:tcPr>
    </w:tblStylePr>
    <w:tblStylePr w:type="band1Horz">
      <w:pPr/>
      <w:tcPr>
        <w:tcBorders/>
      </w:tcPr>
    </w:tblStylePr>
    <w:tblStylePr w:type="band2Horz">
      <w:pPr/>
      <w:tcPr>
        <w:tcBorders/>
      </w:tcPr>
    </w:tblStylePr>
    <w:tblStylePr w:type="firstCol">
      <w:pPr/>
      <w:tcPr>
        <w:tcBorders/>
      </w:tcPr>
    </w:tblStylePr>
    <w:tblStylePr w:type="lastCol">
      <w:pPr/>
      <w:tcPr>
        <w:tcBorders/>
      </w:tcPr>
    </w:tblStylePr>
    <w:tblStylePr w:type="band1Vert">
      <w:pPr/>
      <w:tcPr>
        <w:tcBorders/>
      </w:tcPr>
    </w:tblStylePr>
    <w:tblStylePr w:type="band2Vert">
      <w:pPr/>
      <w:tcPr>
        <w:tcBorders/>
      </w:tcPr>
    </w:tblStylePr>
    <w:tblStylePr w:type="neCell">
      <w:pPr/>
      <w:tcPr>
        <w:tcBorders/>
      </w:tcPr>
    </w:tblStylePr>
    <w:tblStylePr w:type="nwCell">
      <w:pPr/>
      <w:tcPr>
        <w:tcBorders/>
      </w:tcPr>
    </w:tblStylePr>
    <w:tblStylePr w:type="seCell">
      <w:pPr/>
      <w:tcPr>
        <w:tcBorders/>
      </w:tcPr>
    </w:tblStylePr>
    <w:tblStylePr w:type="swCell">
      <w:pPr/>
      <w:tcPr>
        <w:tcBorders/>
      </w:tcPr>
    </w:tblStyle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blStylePr w:type="firstRow">
      <w:pPr/>
      <w:tcPr>
        <w:tcBorders/>
      </w:tcPr>
    </w:tblStylePr>
    <w:tblStylePr w:type="lastRow">
      <w:pPr/>
      <w:tcPr>
        <w:tcBorders/>
      </w:tcPr>
    </w:tblStylePr>
    <w:tblStylePr w:type="band1Horz">
      <w:pPr/>
      <w:tcPr>
        <w:tcBorders/>
      </w:tcPr>
    </w:tblStylePr>
    <w:tblStylePr w:type="band2Horz">
      <w:pPr/>
      <w:tcPr>
        <w:tcBorders/>
      </w:tcPr>
    </w:tblStylePr>
    <w:tblStylePr w:type="firstCol">
      <w:pPr/>
      <w:tcPr>
        <w:tcBorders/>
      </w:tcPr>
    </w:tblStylePr>
    <w:tblStylePr w:type="lastCol">
      <w:pPr/>
      <w:tcPr>
        <w:tcBorders/>
      </w:tcPr>
    </w:tblStylePr>
    <w:tblStylePr w:type="band1Vert">
      <w:pPr/>
      <w:tcPr>
        <w:tcBorders/>
      </w:tcPr>
    </w:tblStylePr>
    <w:tblStylePr w:type="band2Vert">
      <w:pPr/>
      <w:tcPr>
        <w:tcBorders/>
      </w:tcPr>
    </w:tblStylePr>
    <w:tblStylePr w:type="neCell">
      <w:pPr/>
      <w:tcPr>
        <w:tcBorders/>
      </w:tcPr>
    </w:tblStylePr>
    <w:tblStylePr w:type="nwCell">
      <w:pPr/>
      <w:tcPr>
        <w:tcBorders/>
      </w:tcPr>
    </w:tblStylePr>
    <w:tblStylePr w:type="seCell">
      <w:pPr/>
      <w:tcPr>
        <w:tcBorders/>
      </w:tcPr>
    </w:tblStylePr>
    <w:tblStylePr w:type="swCell">
      <w:pPr/>
      <w:tcPr>
        <w:tcBorders/>
      </w:tcPr>
    </w:tblStyle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391</Words>
  <Characters>2383</Characters>
  <Application>WPS Office</Application>
  <Paragraphs>150</Paragraphs>
  <CharactersWithSpaces>2747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2026-09-13T21:29:47Z</dcterms:created>
  <dc:creator>WPS Office</dc:creator>
  <lastModifiedBy>SM-A065F</lastModifiedBy>
  <dcterms:modified xsi:type="dcterms:W3CDTF">2026-09-13T21:38:18Z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7b438298e8004063a596a38018cdd261_23</vt:lpwstr>
  </property>
</Properties>
</file>