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80EEE">
      <w:pPr>
        <w:ind w:left="0" w:leftChars="0" w:firstLine="0" w:firstLineChars="0"/>
        <w:sectPr>
          <w:headerReference r:id="rId5" w:type="default"/>
          <w:pgSz w:w="11906" w:h="16838"/>
          <w:pgMar w:top="1417" w:right="1531" w:bottom="1417" w:left="1531" w:header="851" w:footer="992" w:gutter="0"/>
          <w:cols w:space="0" w:num="1"/>
          <w:titlePg/>
          <w:rtlGutter w:val="0"/>
          <w:docGrid w:type="linesAndChars" w:linePitch="378" w:charSpace="5734"/>
        </w:sectPr>
      </w:pPr>
      <w:r>
        <w:drawing>
          <wp:anchor distT="0" distB="0" distL="114300" distR="114300" simplePos="0" relativeHeight="251685888" behindDoc="0" locked="0" layoutInCell="1" allowOverlap="1">
            <wp:simplePos x="0" y="0"/>
            <wp:positionH relativeFrom="column">
              <wp:posOffset>-972185</wp:posOffset>
            </wp:positionH>
            <wp:positionV relativeFrom="paragraph">
              <wp:posOffset>-899795</wp:posOffset>
            </wp:positionV>
            <wp:extent cx="7560310" cy="10692130"/>
            <wp:effectExtent l="0" t="0" r="8890" b="1270"/>
            <wp:wrapNone/>
            <wp:docPr id="14" name="图片 1" descr="碳融智核"/>
            <wp:cNvGraphicFramePr/>
            <a:graphic xmlns:a="http://schemas.openxmlformats.org/drawingml/2006/main">
              <a:graphicData uri="http://schemas.openxmlformats.org/drawingml/2006/picture">
                <pic:pic xmlns:pic="http://schemas.openxmlformats.org/drawingml/2006/picture">
                  <pic:nvPicPr>
                    <pic:cNvPr id="14" name="图片 1" descr="碳融智核"/>
                    <pic:cNvPicPr/>
                  </pic:nvPicPr>
                  <pic:blipFill>
                    <a:blip r:embed="rId9"/>
                    <a:stretch>
                      <a:fillRect/>
                    </a:stretch>
                  </pic:blipFill>
                  <pic:spPr>
                    <a:xfrm>
                      <a:off x="0" y="0"/>
                      <a:ext cx="7560310" cy="10692130"/>
                    </a:xfrm>
                    <a:prstGeom prst="rect">
                      <a:avLst/>
                    </a:prstGeom>
                    <a:noFill/>
                    <a:ln>
                      <a:noFill/>
                    </a:ln>
                  </pic:spPr>
                </pic:pic>
              </a:graphicData>
            </a:graphic>
          </wp:anchor>
        </w:drawing>
      </w:r>
    </w:p>
    <w:sdt>
      <w:sdtPr>
        <w:rPr>
          <w:rFonts w:hint="eastAsia"/>
          <w:lang w:val="en-US" w:eastAsia="zh-CN"/>
        </w:rPr>
        <w:id w:val="147479197"/>
        <w15:color w:val="DBDBDB"/>
        <w:docPartObj>
          <w:docPartGallery w:val="Table of Contents"/>
          <w:docPartUnique/>
        </w:docPartObj>
      </w:sdtPr>
      <w:sdtEndPr>
        <w:rPr>
          <w:rFonts w:hint="eastAsia" w:asciiTheme="majorEastAsia" w:hAnsiTheme="majorEastAsia" w:eastAsiaTheme="majorEastAsia" w:cstheme="majorEastAsia"/>
          <w:kern w:val="24"/>
          <w:sz w:val="24"/>
          <w:szCs w:val="24"/>
          <w:lang w:val="en-US" w:eastAsia="zh-CN" w:bidi="ar-SA"/>
        </w:rPr>
      </w:sdtEndPr>
      <w:sdtContent>
        <w:p w14:paraId="21B6EBE2">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目  录</w:t>
          </w:r>
        </w:p>
        <w:p w14:paraId="121B635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TOC \o "1-3" \h \u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_Toc22155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 xml:space="preserve">第一章 </w:t>
          </w:r>
          <w:r>
            <w:rPr>
              <w:rFonts w:hint="eastAsia" w:asciiTheme="majorEastAsia" w:hAnsiTheme="majorEastAsia" w:eastAsiaTheme="majorEastAsia" w:cstheme="majorEastAsia"/>
              <w:sz w:val="24"/>
              <w:szCs w:val="24"/>
            </w:rPr>
            <w:t>项目概述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_Toc22155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918052D">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_Toc15993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rPr>
            <w:t>1.1 项目简介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_Toc15993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BF0C4E4">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_Toc13940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rPr>
            <w:t>1.2 用户识别与划分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_Toc13940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E25732C">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_Toc17632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1.3 产品定位与服务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_Toc17632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A1B1F9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_Toc25968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1.3.1 产品定位</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_Toc25968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9125FF9">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_Toc21368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1.3.2 核心服务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_Toc21368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F5ACA90">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_Toc16554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1.4 市场分析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_Toc16554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69E8ADE">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_Toc8163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1.4.1 市场规模与增长潜力</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_Toc8163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DCD0A7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_Toc26558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1.4.2 竞争格局</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_Toc26558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0ED0FD6">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_Toc4552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1.5 盈利模式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_Toc4552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8A9DD5C">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_Toc14407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1.6 市场营销</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_Toc14407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3D6AF9A">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_Toc6820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1.6.1 目标市场策略（STP）</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_Toc6820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F56C8A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_Toc26354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1.6.2 推广策略（4P）</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_Toc26354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4C41A8C">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_Toc2310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1.7 发展战略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_Toc2310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E85F154">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_Toc10821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eastAsia="zh-CN"/>
            </w:rPr>
            <w:t>1.8 团队介绍</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_Toc10821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74FD518">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_Toc6855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eastAsia="zh-CN"/>
            </w:rPr>
            <w:t>1.8.1 团队构成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_Toc6855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C2E64EA">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_Toc19572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1.8.2 导师支撑</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_Toc19572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A104FD0">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_Toc28165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1.8.3 团队优势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_Toc28165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55D828E">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_Toc25846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第二章 市场分析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_Toc25846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474E451">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_Toc12006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2.1产业现状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_Toc12006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7AE622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_Toc16318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2.1.1信息集中平台发展环境</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_Toc16318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471F70B">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_Toc4200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2.1.2信息集中平台产业发展现状及趋势预测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_Toc4200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4577FEE">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_Toc26437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2.2替代品与潜在竞争者</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_Toc26437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48C150A">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_Toc20686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2.3 SWOT分析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_Toc20686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080113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_Toc12225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2.3.1 SO战略（优势+机会）</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_Toc12225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0124EA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_Toc20080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2.3.2 SW战略（优势+劣势）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_Toc20080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8779C90">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_Toc21824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2.3.3 OT分析（机会+威胁）</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_Toc21824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CD89FCF">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_Toc6124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第三章 产品服务与定位</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_Toc6124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AA66307">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_Toc2948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3.1 产品背景</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_Toc2948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D7A865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_Toc31506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3.1.1 产品构思及定位</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_Toc31506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5F5198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_Toc5587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3.1.2 产品目标</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_Toc5587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BDE0FB4">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_Toc28674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3.1.3 产品及用户需求分析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_Toc28674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07CE76E">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_Toc28175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3.2.1 多源数据智能采集与治理模块</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_Toc28175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92F7E3F">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_Toc27213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3.2.2 自动化碳核算与ESG评分模型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_Toc27213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DBB464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_Toc32214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3.2.3 AIGC智能报告生成模块</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_Toc32214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38C5CD1">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_Toc10270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3.2.4 绿色金融产品智能匹配与对接模块</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_Toc10270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4CD9030">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_Toc16775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3.2.5 可视化ESG数据驾驶舱</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_Toc16775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6FABDDC">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_Toc6074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3.3 产品特性</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_Toc6074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9CEF6A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_Toc11339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3.3.1 私人订制与“分答”模式的应用</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_Toc11339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EA15FC7">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_Toc28109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3.3.2 虚拟货币——无忧果</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_Toc28109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C0D514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_Toc7578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第四章 商业模式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_Toc7578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929F097">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_Toc7013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4.1商业模式概述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_Toc7013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7F41266">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_Toc31712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4.2基础盈利手段</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_Toc31712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27209E2">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_Toc2188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4.2.1 SaaS订阅收入（核心基础营收）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_Toc2188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1316162">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_Toc25886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4.2.2增值服务收入（高附加值营收）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_Toc25886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6223BB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_Toc24795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4.2.3金融对接佣金收入（生态变现营收）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_Toc24795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77D1865">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_Toc11708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4.3平台生态系统</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_Toc11708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E48A77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_Toc27007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4.3.1用户端生态</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_Toc27007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1362BE8">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_Toc26356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4.3.2合作端生态</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_Toc26356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21832C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_Toc21636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4.3.3数据端生态</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_Toc21636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37E9EF4">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_Toc12663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4.4商业模式细分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_Toc12663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2E012E7">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_Toc25446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4.4.1客户解决方案模式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_Toc25446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AD49C7A">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_Toc1587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4.4.2全产业链闭环模式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_Toc1587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97F5CC1">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_Toc31539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4.4.3专业化利润分层模式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_Toc31539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CED4E4B">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_Toc11882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4.4.4大数据资产变现模式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_Toc11882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1B6B0B2">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_Toc7884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第五章 市场营销策略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_Toc7884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C6BD16B">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_Toc11650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5.1 PEST宏观环境分析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_Toc11650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D3FD51B">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_Toc10236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5.1.1政治环境（Political）</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_Toc10236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3C262DE">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_Toc12842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5.1.2经济环境（Economic）</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_Toc12842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997707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_Toc7809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5.1.3社会环境（Social）</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_Toc7809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EDC42F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_Toc4550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5.1.4技术环境（Technological）</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_Toc4550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128AF99">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_Toc17478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5.2 推广与营销实施计划</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_Toc17478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695AE03">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_Toc10319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5.2.1 STP战略：精准定位目标市场</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_Toc10319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D439190">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_Toc26699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5.2.2 4P策略：落地推广与营销动作</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_Toc26699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B8979E7">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_Toc2046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5.3营销总结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_Toc2046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0E1A46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_Toc24096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第六章 碳账本—中小企业ESG数据自动化与绿色金融赋能平台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_Toc24096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9F5ABAA">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_Toc32634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6.1 总体规划</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_Toc32634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4CEAF89">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_Toc9689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6.1.1 平台定位与建设目标</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_Toc9689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4236426">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_Toc29290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6.1.2 整体架构设计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_Toc29290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589B3B0">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_Toc28889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6.1.3 技术选型与部署方案</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_Toc28889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AAC876C">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_Toc8086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6.2 功能结构</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_Toc8086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06183D3">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_Toc20984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6.2.1 核心功能模块划分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_Toc20984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9548494">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_Toc2291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6.2.2 模块间数据流转逻辑</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_Toc2291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B2CEA1B">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_Toc7114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6.2.3 权限与角色管理体系</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_Toc7114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923CB96">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_Toc5469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6.3 板块设计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_Toc5469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04CADE1">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_Toc17930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6.3.1 欢迎/登录页面</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_Toc17930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8C1261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_Toc199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6.3.2 企业中心/个人信息页面</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0C3B1DD">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_Toc15223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6.3.3 板块分类导航</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_Toc15223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9CF0EC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_Toc5918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6.3.4 碳核算页面（以“制造业企业”为例）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_Toc5918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559EBAA">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_Toc15283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6.3.5 ESG评分页面（以“电商商家”为例）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_Toc15283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9322EAA">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_Toc22340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6.3.6 报告生成页面（以“绿色信贷申报”为例）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_Toc22340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A83B587">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_Toc6359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6.3.7 金融对接页面（以“银行绿色信贷”为例）</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30A042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_Toc18110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第七章 盈利模式</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_Toc18110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E4C2F6A">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_Toc5845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7.1商业模式核心概述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_Toc5845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7C675D1">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_Toc17431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7.2核心盈利板块</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_Toc17431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4855ECC">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_Toc8943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7.2.1 SaaS 订阅服务收入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_Toc8943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7F480C5">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_Toc21758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7.2.2增值服务收入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_Toc21758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BDF99A1">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_Toc3007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7.2.3绿色金融对接分润收入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_Toc3007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CF25728">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_Toc5797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7.2.4数据资产增值服务收入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_Toc5797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52BE5F7">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_Toc26278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7.3盈利模式核心优势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_Toc26278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2733390">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_Toc27131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第八章 投资与财务分析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_Toc27131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3EDB954">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_Toc30113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8.1 财务假设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_Toc30113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7C7CCF5">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_Toc682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8.2 财务预算</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_Toc682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23C8C43">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_Toc14548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8.2.1 “碳账本”全面预算体系</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_Toc14548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64B85A2">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_Toc30459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8.2.2 四项收益五年重要销售预算数据摘要</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_Toc30459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64D0005">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_Toc28995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8.3 财务分析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_Toc28995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70DAAF9">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_Toc8223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8.3.1 偿债能力分析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_Toc8223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6FB5753">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_Toc18076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8.3.2 盈利能力分析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_Toc18076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05C4677">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_Toc21862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8.3.3 发展能力分析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_Toc21862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40174D2">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_Toc4087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8.3.4 财务分析总结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_Toc4087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6EA3AEA">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_Toc8802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8.4 项目可行性分析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_Toc8802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52A9891">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_Toc32764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8.4.1 平台的开发</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_Toc32764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D2B93C6">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_Toc22291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8.4.2 收入预测及用户调查</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_Toc22291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F8F2BB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_Toc14029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第九章 企业管理方案</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_Toc14029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B04F536">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_Toc2705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9.1 组织形式董事会</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_Toc2705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E7B9195">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_Toc4258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9.2 部门职能</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_Toc4258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AF1B48E">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_Toc11205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9.3 管理制度</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_Toc11205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EA2BB4E">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_Toc32261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9.3.1 价值化管理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_Toc32261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7E567F8">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_Toc22838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9.3.2 民主化管理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_Toc22838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52D5632">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_Toc23297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9.3.3 系统化管理</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_Toc23297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EBC069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_Toc16374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第十章 风险评估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_Toc16374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8AE5AB1">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_Toc9418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10.1 市场竞争风险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_Toc9418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0E71245">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_Toc810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10.2 技术风险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_Toc810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63139F3">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_Toc10661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10.2.1 技术抄袭与同质化</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_Toc10661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2D3B5AB">
          <w:pPr>
            <w:pStyle w:val="6"/>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_Toc30931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lang w:val="en-US" w:eastAsia="zh-CN"/>
            </w:rPr>
            <w:t>10.2.2 数据安全与隐私泄露风险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_Toc30931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2F8F191">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_Toc27933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10.3 政策风险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_Toc27933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AF570CA">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_Toc11699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10.4 盈利风险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_Toc11699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7B3C812">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_Toc2755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10.5 财务风险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_Toc2755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3A82278">
          <w:pPr>
            <w:pStyle w:val="11"/>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\l _Toc29063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bCs w:val="0"/>
              <w:sz w:val="24"/>
              <w:szCs w:val="24"/>
              <w:lang w:val="en-US" w:eastAsia="zh-CN"/>
            </w:rPr>
            <w:t>10.6 管理风险</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_Toc29063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093782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asciiTheme="majorEastAsia" w:hAnsiTheme="majorEastAsia" w:eastAsiaTheme="majorEastAsia" w:cstheme="majorEastAsia"/>
              <w:kern w:val="24"/>
              <w:sz w:val="24"/>
              <w:szCs w:val="24"/>
              <w:lang w:val="en-US" w:eastAsia="zh-CN" w:bidi="ar-SA"/>
            </w:rPr>
          </w:pPr>
          <w:r>
            <w:rPr>
              <w:rFonts w:hint="eastAsia" w:asciiTheme="majorEastAsia" w:hAnsiTheme="majorEastAsia" w:eastAsiaTheme="majorEastAsia" w:cstheme="majorEastAsia"/>
              <w:sz w:val="24"/>
              <w:szCs w:val="24"/>
            </w:rPr>
            <w:fldChar w:fldCharType="end"/>
          </w:r>
        </w:p>
      </w:sdtContent>
    </w:sdt>
    <w:p w14:paraId="2CB3F8A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asciiTheme="majorEastAsia" w:hAnsiTheme="majorEastAsia" w:eastAsiaTheme="majorEastAsia" w:cstheme="majorEastAsia"/>
          <w:kern w:val="24"/>
          <w:sz w:val="24"/>
          <w:szCs w:val="24"/>
          <w:lang w:val="en-US" w:eastAsia="zh-CN" w:bidi="ar-SA"/>
        </w:rPr>
        <w:sectPr>
          <w:footerReference r:id="rId6" w:type="default"/>
          <w:pgSz w:w="11906" w:h="16838"/>
          <w:pgMar w:top="1417" w:right="1531" w:bottom="1417" w:left="1531" w:header="851" w:footer="992" w:gutter="0"/>
          <w:pgNumType w:fmt="upperRoman" w:start="1"/>
          <w:cols w:space="0" w:num="1"/>
          <w:rtlGutter w:val="0"/>
          <w:docGrid w:type="linesAndChars" w:linePitch="378" w:charSpace="5734"/>
        </w:sectPr>
      </w:pPr>
    </w:p>
    <w:p w14:paraId="567F395A">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图目录</w:t>
      </w:r>
    </w:p>
    <w:p w14:paraId="40E21F74">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TOC \h \c "图"</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_Toc19760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 </w:t>
      </w:r>
      <w:r>
        <w:rPr>
          <w:rFonts w:hint="eastAsia" w:asciiTheme="majorEastAsia" w:hAnsiTheme="majorEastAsia" w:eastAsiaTheme="majorEastAsia" w:cstheme="majorEastAsia"/>
          <w:sz w:val="24"/>
          <w:szCs w:val="24"/>
          <w:lang w:eastAsia="zh-CN"/>
        </w:rPr>
        <w:t xml:space="preserve"> 碳融智核产品核心服务体系架构图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_Toc19760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5F865B4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_Toc8006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 </w:t>
      </w:r>
      <w:r>
        <w:rPr>
          <w:rFonts w:hint="eastAsia" w:asciiTheme="majorEastAsia" w:hAnsiTheme="majorEastAsia" w:eastAsiaTheme="majorEastAsia" w:cstheme="majorEastAsia"/>
          <w:sz w:val="24"/>
          <w:szCs w:val="24"/>
          <w:lang w:eastAsia="zh-CN"/>
        </w:rPr>
        <w:t xml:space="preserve"> 碳融智核项目核心用户群体需求画像图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_Toc8006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04F7F406">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_Toc28994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3 </w:t>
      </w:r>
      <w:r>
        <w:rPr>
          <w:rFonts w:hint="eastAsia" w:asciiTheme="majorEastAsia" w:hAnsiTheme="majorEastAsia" w:eastAsiaTheme="majorEastAsia" w:cstheme="majorEastAsia"/>
          <w:sz w:val="24"/>
          <w:szCs w:val="24"/>
          <w:lang w:eastAsia="zh-CN"/>
        </w:rPr>
        <w:t xml:space="preserve"> 2018—2023年我国居民绿色消费意愿变化趋势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_Toc28994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1276236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_Toc24226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4 </w:t>
      </w:r>
      <w:r>
        <w:rPr>
          <w:rFonts w:hint="eastAsia" w:asciiTheme="majorEastAsia" w:hAnsiTheme="majorEastAsia" w:eastAsiaTheme="majorEastAsia" w:cstheme="majorEastAsia"/>
          <w:sz w:val="24"/>
          <w:szCs w:val="24"/>
          <w:lang w:eastAsia="zh-CN"/>
        </w:rPr>
        <w:t xml:space="preserve"> 项目全周期实施计划图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_Toc24226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5699B597">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_Toc26671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5 </w:t>
      </w:r>
      <w:r>
        <w:rPr>
          <w:rFonts w:hint="eastAsia" w:asciiTheme="majorEastAsia" w:hAnsiTheme="majorEastAsia" w:eastAsiaTheme="majorEastAsia" w:cstheme="majorEastAsia"/>
          <w:sz w:val="24"/>
          <w:szCs w:val="24"/>
          <w:lang w:eastAsia="zh-CN"/>
        </w:rPr>
        <w:t xml:space="preserve"> 《中小企业 ESG 信息披露指南》团体标准公告截图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_Toc26671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3E68BAC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_Toc5865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6 </w:t>
      </w:r>
      <w:r>
        <w:rPr>
          <w:rFonts w:hint="eastAsia" w:asciiTheme="majorEastAsia" w:hAnsiTheme="majorEastAsia" w:eastAsiaTheme="majorEastAsia" w:cstheme="majorEastAsia"/>
          <w:sz w:val="24"/>
          <w:szCs w:val="24"/>
          <w:lang w:eastAsia="zh-CN"/>
        </w:rPr>
        <w:t xml:space="preserve"> 2024-2025 年电商行业绿色发展核心数据看板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_Toc5865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5EDA5A84">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_Toc14568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7 </w:t>
      </w:r>
      <w:r>
        <w:rPr>
          <w:rFonts w:hint="eastAsia" w:asciiTheme="majorEastAsia" w:hAnsiTheme="majorEastAsia" w:eastAsiaTheme="majorEastAsia" w:cstheme="majorEastAsia"/>
          <w:sz w:val="24"/>
          <w:szCs w:val="24"/>
          <w:lang w:eastAsia="zh-CN"/>
        </w:rPr>
        <w:t xml:space="preserve"> 碳融智核产品短期 - 中期 - 长期战略目标与成果拆解图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_Toc14568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594A5EF5">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_Toc15490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8 </w:t>
      </w:r>
      <w:r>
        <w:rPr>
          <w:rFonts w:hint="eastAsia" w:asciiTheme="majorEastAsia" w:hAnsiTheme="majorEastAsia" w:eastAsiaTheme="majorEastAsia" w:cstheme="majorEastAsia"/>
          <w:sz w:val="24"/>
          <w:szCs w:val="24"/>
          <w:lang w:eastAsia="zh-CN"/>
        </w:rPr>
        <w:t xml:space="preserve"> 碳融智核产品五大核心功能模块联动示意图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_Toc15490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1FBEAB30">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_Toc26637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9 </w:t>
      </w:r>
      <w:r>
        <w:rPr>
          <w:rFonts w:hint="eastAsia" w:asciiTheme="majorEastAsia" w:hAnsiTheme="majorEastAsia" w:eastAsiaTheme="majorEastAsia" w:cstheme="majorEastAsia"/>
          <w:sz w:val="24"/>
          <w:szCs w:val="24"/>
          <w:lang w:eastAsia="zh-CN"/>
        </w:rPr>
        <w:t xml:space="preserve"> 碳融智核平台虚拟货币 “无忧果” 获取与使用场景全景图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_Toc26637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36919AC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_Toc25720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10 </w:t>
      </w:r>
      <w:r>
        <w:rPr>
          <w:rFonts w:hint="eastAsia" w:asciiTheme="majorEastAsia" w:hAnsiTheme="majorEastAsia" w:eastAsiaTheme="majorEastAsia" w:cstheme="majorEastAsia"/>
          <w:sz w:val="24"/>
          <w:szCs w:val="24"/>
          <w:lang w:eastAsia="zh-CN"/>
        </w:rPr>
        <w:t xml:space="preserve"> 商业模式与收入流生态循环图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_Toc25720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72D872B2">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_Toc29147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11 </w:t>
      </w:r>
      <w:r>
        <w:rPr>
          <w:rFonts w:hint="eastAsia" w:asciiTheme="majorEastAsia" w:hAnsiTheme="majorEastAsia" w:eastAsiaTheme="majorEastAsia" w:cstheme="majorEastAsia"/>
          <w:sz w:val="24"/>
          <w:szCs w:val="24"/>
          <w:lang w:eastAsia="zh-CN"/>
        </w:rPr>
        <w:t xml:space="preserve"> 中国绿色金融政策演进与约束力强度力时间轴</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_Toc29147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22C8644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_Toc15651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12 </w:t>
      </w:r>
      <w:r>
        <w:rPr>
          <w:rFonts w:hint="eastAsia" w:asciiTheme="majorEastAsia" w:hAnsiTheme="majorEastAsia" w:eastAsiaTheme="majorEastAsia" w:cstheme="majorEastAsia"/>
          <w:sz w:val="24"/>
          <w:szCs w:val="24"/>
          <w:lang w:eastAsia="zh-CN"/>
        </w:rPr>
        <w:t xml:space="preserve"> SME绿色转型“三重驱动”力学模型图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_Toc15651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6B12F6A0">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_Toc18569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13 </w:t>
      </w:r>
      <w:r>
        <w:rPr>
          <w:rFonts w:hint="eastAsia" w:asciiTheme="majorEastAsia" w:hAnsiTheme="majorEastAsia" w:eastAsiaTheme="majorEastAsia" w:cstheme="majorEastAsia"/>
          <w:sz w:val="24"/>
          <w:szCs w:val="24"/>
          <w:lang w:eastAsia="zh-CN"/>
        </w:rPr>
        <w:t xml:space="preserve"> 2024-2025年绿色信贷增长趋势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_Toc18569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05CA4A7F">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_Toc9345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14 </w:t>
      </w:r>
      <w:r>
        <w:rPr>
          <w:rFonts w:hint="eastAsia" w:asciiTheme="majorEastAsia" w:hAnsiTheme="majorEastAsia" w:eastAsiaTheme="majorEastAsia" w:cstheme="majorEastAsia"/>
          <w:sz w:val="24"/>
          <w:szCs w:val="24"/>
          <w:lang w:eastAsia="zh-CN"/>
        </w:rPr>
        <w:t xml:space="preserve"> 2018—2023年我国居民绿色消费意愿变化趋势</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_Toc9345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1DEAFB60">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_Toc25909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15 </w:t>
      </w:r>
      <w:r>
        <w:rPr>
          <w:rFonts w:hint="eastAsia" w:asciiTheme="majorEastAsia" w:hAnsiTheme="majorEastAsia" w:eastAsiaTheme="majorEastAsia" w:cstheme="majorEastAsia"/>
          <w:sz w:val="24"/>
          <w:szCs w:val="24"/>
          <w:lang w:eastAsia="zh-CN"/>
        </w:rPr>
        <w:t xml:space="preserve"> STP市场定位靶向图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_Toc25909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0443295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_Toc24784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16 </w:t>
      </w:r>
      <w:r>
        <w:rPr>
          <w:rFonts w:hint="eastAsia" w:asciiTheme="majorEastAsia" w:hAnsiTheme="majorEastAsia" w:eastAsiaTheme="majorEastAsia" w:cstheme="majorEastAsia"/>
          <w:sz w:val="24"/>
          <w:szCs w:val="24"/>
          <w:lang w:eastAsia="zh-CN"/>
        </w:rPr>
        <w:t xml:space="preserve"> “碳账本”4P营销全景图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_Toc24784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7A33C93E">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_Toc25887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17 </w:t>
      </w:r>
      <w:r>
        <w:rPr>
          <w:rFonts w:hint="eastAsia" w:asciiTheme="majorEastAsia" w:hAnsiTheme="majorEastAsia" w:eastAsiaTheme="majorEastAsia" w:cstheme="majorEastAsia"/>
          <w:sz w:val="24"/>
          <w:szCs w:val="24"/>
          <w:lang w:eastAsia="zh-CN"/>
        </w:rPr>
        <w:t xml:space="preserve"> 碳融智核项目 15 个月全周期实施阶段与里程碑规划图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_Toc25887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14CAB1D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_Toc18267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18 </w:t>
      </w:r>
      <w:r>
        <w:rPr>
          <w:rFonts w:hint="eastAsia" w:asciiTheme="majorEastAsia" w:hAnsiTheme="majorEastAsia" w:eastAsiaTheme="majorEastAsia" w:cstheme="majorEastAsia"/>
          <w:sz w:val="24"/>
          <w:szCs w:val="24"/>
          <w:lang w:eastAsia="zh-CN"/>
        </w:rPr>
        <w:t xml:space="preserve"> 碳融智核平台 SaaS+Fintech 双重驱动盈利生态循环图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_Toc18267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1345FC8A">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_Toc1813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19 </w:t>
      </w:r>
      <w:r>
        <w:rPr>
          <w:rFonts w:hint="eastAsia" w:asciiTheme="majorEastAsia" w:hAnsiTheme="majorEastAsia" w:eastAsiaTheme="majorEastAsia" w:cstheme="majorEastAsia"/>
          <w:sz w:val="24"/>
          <w:szCs w:val="24"/>
          <w:lang w:eastAsia="zh-CN"/>
        </w:rPr>
        <w:t xml:space="preserve"> 碳融智核平台四层技术架构与核心技术选型图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_Toc1813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6413645C">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_Toc17812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20 </w:t>
      </w:r>
      <w:r>
        <w:rPr>
          <w:rFonts w:hint="eastAsia" w:asciiTheme="majorEastAsia" w:hAnsiTheme="majorEastAsia" w:eastAsiaTheme="majorEastAsia" w:cstheme="majorEastAsia"/>
          <w:sz w:val="24"/>
          <w:szCs w:val="24"/>
          <w:lang w:eastAsia="zh-CN"/>
        </w:rPr>
        <w:t xml:space="preserve"> 碳融智核平台核心功能模块间数据流转逻辑图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_Toc17812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39A24F4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_Toc7470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21 </w:t>
      </w:r>
      <w:r>
        <w:rPr>
          <w:rFonts w:hint="eastAsia" w:asciiTheme="majorEastAsia" w:hAnsiTheme="majorEastAsia" w:eastAsiaTheme="majorEastAsia" w:cstheme="majorEastAsia"/>
          <w:sz w:val="24"/>
          <w:szCs w:val="24"/>
          <w:lang w:eastAsia="zh-CN"/>
        </w:rPr>
        <w:t xml:space="preserve"> 碳融智核平台欢迎 / 登录页面原型设计图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_Toc7470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6BB99A09">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_Toc99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22 </w:t>
      </w:r>
      <w:r>
        <w:rPr>
          <w:rFonts w:hint="eastAsia" w:asciiTheme="majorEastAsia" w:hAnsiTheme="majorEastAsia" w:eastAsiaTheme="majorEastAsia" w:cstheme="majorEastAsia"/>
          <w:sz w:val="24"/>
          <w:szCs w:val="24"/>
          <w:lang w:eastAsia="zh-CN"/>
        </w:rPr>
        <w:t xml:space="preserve"> 制造业企业碳核算页面操作与结果展示原型图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_Toc99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46DCDCB5">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_Toc18107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23 </w:t>
      </w:r>
      <w:r>
        <w:rPr>
          <w:rFonts w:hint="eastAsia" w:asciiTheme="majorEastAsia" w:hAnsiTheme="majorEastAsia" w:eastAsiaTheme="majorEastAsia" w:cstheme="majorEastAsia"/>
          <w:sz w:val="24"/>
          <w:szCs w:val="24"/>
          <w:lang w:eastAsia="zh-CN"/>
        </w:rPr>
        <w:t xml:space="preserve"> 电商商家 ESG 评分页面可视化分析原型图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_Toc18107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7E52A396">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_Toc32190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24 </w:t>
      </w:r>
      <w:r>
        <w:rPr>
          <w:rFonts w:hint="eastAsia" w:asciiTheme="majorEastAsia" w:hAnsiTheme="majorEastAsia" w:eastAsiaTheme="majorEastAsia" w:cstheme="majorEastAsia"/>
          <w:sz w:val="24"/>
          <w:szCs w:val="24"/>
          <w:lang w:eastAsia="zh-CN"/>
        </w:rPr>
        <w:t xml:space="preserve"> 绿色信贷申报场景 AIGC 智能报告生成页面原型图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_Toc32190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49CF22D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_Toc1659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rPr>
        <w:t xml:space="preserve">图 25 </w:t>
      </w:r>
      <w:r>
        <w:rPr>
          <w:rFonts w:hint="eastAsia" w:asciiTheme="majorEastAsia" w:hAnsiTheme="majorEastAsia" w:eastAsiaTheme="majorEastAsia" w:cstheme="majorEastAsia"/>
          <w:sz w:val="24"/>
          <w:szCs w:val="24"/>
          <w:lang w:eastAsia="zh-CN"/>
        </w:rPr>
        <w:t xml:space="preserve"> 银行绿色信贷对接页面产品匹配与申请原型图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74C520EC">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HYPERLINK \l _Toc3194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 xml:space="preserve">图 </w:t>
      </w:r>
      <w:r>
        <w:rPr>
          <w:rFonts w:hint="eastAsia" w:asciiTheme="majorEastAsia" w:hAnsiTheme="majorEastAsia" w:eastAsiaTheme="majorEastAsia" w:cstheme="majorEastAsia"/>
          <w:sz w:val="24"/>
          <w:szCs w:val="24"/>
        </w:rPr>
        <w:t xml:space="preserve">26 </w:t>
      </w:r>
      <w:r>
        <w:rPr>
          <w:rFonts w:hint="eastAsia" w:asciiTheme="majorEastAsia" w:hAnsiTheme="majorEastAsia" w:eastAsiaTheme="majorEastAsia" w:cstheme="majorEastAsia"/>
          <w:sz w:val="24"/>
          <w:szCs w:val="24"/>
          <w:lang w:val="en-US" w:eastAsia="zh-CN"/>
        </w:rPr>
        <w:t xml:space="preserve"> 碳融智核项目企业组织架构与部门职能分布图</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_Toc3194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val="en-US" w:eastAsia="zh-CN"/>
        </w:rPr>
        <w:fldChar w:fldCharType="end"/>
      </w:r>
    </w:p>
    <w:p w14:paraId="2E466131">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sectPr>
          <w:pgSz w:w="11906" w:h="16838"/>
          <w:pgMar w:top="1417" w:right="1531" w:bottom="1417" w:left="1531" w:header="851" w:footer="992" w:gutter="0"/>
          <w:pgNumType w:fmt="upperRoman"/>
          <w:cols w:space="0" w:num="1"/>
          <w:rtlGutter w:val="0"/>
          <w:docGrid w:type="linesAndChars" w:linePitch="378" w:charSpace="5734"/>
        </w:sectPr>
      </w:pPr>
      <w:r>
        <w:rPr>
          <w:rFonts w:hint="eastAsia" w:asciiTheme="majorEastAsia" w:hAnsiTheme="majorEastAsia" w:eastAsiaTheme="majorEastAsia" w:cstheme="majorEastAsia"/>
          <w:sz w:val="24"/>
          <w:szCs w:val="24"/>
          <w:lang w:val="en-US" w:eastAsia="zh-CN"/>
        </w:rPr>
        <w:fldChar w:fldCharType="end"/>
      </w:r>
    </w:p>
    <w:p w14:paraId="10873D0D">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t>表目录</w:t>
      </w:r>
    </w:p>
    <w:p w14:paraId="3532352C">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TOC \h \c "表"</w:instrText>
      </w:r>
      <w:r>
        <w:rPr>
          <w:rFonts w:hint="default" w:asciiTheme="majorEastAsia" w:hAnsiTheme="majorEastAsia" w:eastAsiaTheme="majorEastAsia" w:cstheme="majorEastAsia"/>
          <w:sz w:val="24"/>
          <w:szCs w:val="24"/>
          <w:lang w:val="en-US" w:eastAsia="zh-CN"/>
        </w:rPr>
        <w:fldChar w:fldCharType="separate"/>
      </w: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_Toc4591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  碳融智核项目核心团队成员岗位定位与关键交付物明细表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_Toc4591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7</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33C2E22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_Toc31809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2  碳管理与 ESG 服务市场三类竞品核心维度对比表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_Toc31809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11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1FA080CD">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_Toc27185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3  碳融智核平台 SaaS 订阅服务分级定价与功能适配表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_Toc27185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21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7121D724">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_Toc8026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4  强化功能模块</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_Toc8026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31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57DDE76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_Toc9742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5  碳融智核项目五年盈利能力核心指标分析表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_Toc9742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43</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46726AC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_Toc29436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6  第一年（启动期）产品销售预测</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_Toc29436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46</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2868935A">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_Toc5975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7  第二年（成长期）产品销售预测</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_Toc5975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47</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02D6728F">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_Toc32026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8  第三年（发展期）产品销售预测</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_Toc32026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48</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1ABB80C7">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_Toc17990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9  核心业务板块五年销售预算表（单位：元）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_Toc17990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48</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3F5CE446">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_Toc28509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10  前五年全业务重要预算数据摘要（单位：元）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_Toc28509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49</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7DE24543">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_Toc5730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11  第一年（启动期）分季度重要财务预算数据摘要（单位：元）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_Toc5730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49</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79A3D7B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_Toc4900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12  主要营业税金及附加情况如下（单位：元）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_Toc4900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50</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55791908">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_Toc12962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13  管理费用明细（单位：元）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_Toc12962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50</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11320726">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_Toc14025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14  销售费用明细（单位：元）</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_Toc14025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50</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27A517E2">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_Toc1237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15  短期偿债能力分析</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_Toc1237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7FB214D3">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_Toc38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16  长期偿债能力分析</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_Toc38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3E529A2E">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_Toc15425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17  流动资产周转情况</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_Toc15425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4A6F241B">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_Toc18519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18  总资产周转情况</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_Toc18519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51</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12A13AFD">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_Toc10123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19  碳融智核项目五年盈利能力核心指标分析表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_Toc10123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52</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64610E99">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_Toc25794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20  碳融智核项目五年发展能力核心指标分析表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_Toc25794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52</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4E922A22">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eastAsia"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fldChar w:fldCharType="begin"/>
      </w:r>
      <w:r>
        <w:rPr>
          <w:rFonts w:hint="default" w:asciiTheme="majorEastAsia" w:hAnsiTheme="majorEastAsia" w:eastAsiaTheme="majorEastAsia" w:cstheme="majorEastAsia"/>
          <w:sz w:val="24"/>
          <w:szCs w:val="24"/>
          <w:lang w:val="en-US" w:eastAsia="zh-CN"/>
        </w:rPr>
        <w:instrText xml:space="preserve"> HYPERLINK \l _Toc26071 </w:instrText>
      </w:r>
      <w:r>
        <w:rPr>
          <w:rFonts w:hint="default"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表 21  碳融智核平台开发模式对比与可行性分析表</w:t>
      </w:r>
      <w:r>
        <w:rPr>
          <w:rFonts w:hint="eastAsia" w:asciiTheme="majorEastAsia" w:hAnsiTheme="majorEastAsia" w:eastAsiaTheme="majorEastAsia" w:cstheme="majorEastAsia"/>
          <w:sz w:val="24"/>
          <w:szCs w:val="24"/>
          <w:lang w:val="en-US" w:eastAsia="zh-CN"/>
        </w:rPr>
        <w:tab/>
      </w:r>
      <w:r>
        <w:rPr>
          <w:rFonts w:hint="eastAsia" w:asciiTheme="majorEastAsia" w:hAnsiTheme="majorEastAsia" w:eastAsiaTheme="majorEastAsia" w:cstheme="majorEastAsia"/>
          <w:sz w:val="24"/>
          <w:szCs w:val="24"/>
          <w:lang w:val="en-US" w:eastAsia="zh-CN"/>
        </w:rPr>
        <w:fldChar w:fldCharType="begin"/>
      </w:r>
      <w:r>
        <w:rPr>
          <w:rFonts w:hint="eastAsia" w:asciiTheme="majorEastAsia" w:hAnsiTheme="majorEastAsia" w:eastAsiaTheme="majorEastAsia" w:cstheme="majorEastAsia"/>
          <w:sz w:val="24"/>
          <w:szCs w:val="24"/>
          <w:lang w:val="en-US" w:eastAsia="zh-CN"/>
        </w:rPr>
        <w:instrText xml:space="preserve"> PAGEREF _Toc26071 \h </w:instrText>
      </w:r>
      <w:r>
        <w:rPr>
          <w:rFonts w:hint="eastAsia" w:asciiTheme="majorEastAsia" w:hAnsiTheme="majorEastAsia" w:eastAsiaTheme="majorEastAsia" w:cstheme="majorEastAsia"/>
          <w:sz w:val="24"/>
          <w:szCs w:val="24"/>
          <w:lang w:val="en-US" w:eastAsia="zh-CN"/>
        </w:rPr>
        <w:fldChar w:fldCharType="separate"/>
      </w:r>
      <w:r>
        <w:rPr>
          <w:rFonts w:hint="eastAsia" w:asciiTheme="majorEastAsia" w:hAnsiTheme="majorEastAsia" w:eastAsiaTheme="majorEastAsia" w:cstheme="majorEastAsia"/>
          <w:sz w:val="24"/>
          <w:szCs w:val="24"/>
          <w:lang w:val="en-US" w:eastAsia="zh-CN"/>
        </w:rPr>
        <w:t>53</w:t>
      </w:r>
      <w:r>
        <w:rPr>
          <w:rFonts w:hint="eastAsia" w:asciiTheme="majorEastAsia" w:hAnsiTheme="majorEastAsia" w:eastAsiaTheme="majorEastAsia" w:cstheme="majorEastAsia"/>
          <w:sz w:val="24"/>
          <w:szCs w:val="24"/>
          <w:lang w:val="en-US" w:eastAsia="zh-CN"/>
        </w:rPr>
        <w:fldChar w:fldCharType="end"/>
      </w:r>
      <w:r>
        <w:rPr>
          <w:rFonts w:hint="default" w:asciiTheme="majorEastAsia" w:hAnsiTheme="majorEastAsia" w:eastAsiaTheme="majorEastAsia" w:cstheme="majorEastAsia"/>
          <w:sz w:val="24"/>
          <w:szCs w:val="24"/>
          <w:lang w:val="en-US" w:eastAsia="zh-CN"/>
        </w:rPr>
        <w:fldChar w:fldCharType="end"/>
      </w:r>
    </w:p>
    <w:p w14:paraId="612A60D2">
      <w:pPr>
        <w:pStyle w:val="9"/>
        <w:keepNext w:val="0"/>
        <w:keepLines w:val="0"/>
        <w:pageBreakBefore w:val="0"/>
        <w:widowControl w:val="0"/>
        <w:tabs>
          <w:tab w:val="right" w:leader="dot" w:pos="8844"/>
        </w:tabs>
        <w:kinsoku/>
        <w:wordWrap/>
        <w:overflowPunct/>
        <w:topLinePunct w:val="0"/>
        <w:autoSpaceDE/>
        <w:autoSpaceDN/>
        <w:bidi w:val="0"/>
        <w:adjustRightInd/>
        <w:snapToGrid/>
        <w:spacing w:line="400" w:lineRule="exact"/>
        <w:ind w:firstLine="0" w:firstLineChars="0"/>
        <w:textAlignment w:val="auto"/>
        <w:rPr>
          <w:rFonts w:hint="default" w:asciiTheme="majorEastAsia" w:hAnsiTheme="majorEastAsia" w:eastAsiaTheme="majorEastAsia" w:cstheme="majorEastAsia"/>
          <w:sz w:val="24"/>
          <w:szCs w:val="24"/>
          <w:lang w:val="en-US" w:eastAsia="zh-CN"/>
        </w:rPr>
        <w:sectPr>
          <w:pgSz w:w="11906" w:h="16838"/>
          <w:pgMar w:top="1417" w:right="1531" w:bottom="1417" w:left="1531" w:header="851" w:footer="992" w:gutter="0"/>
          <w:pgNumType w:fmt="upperRoman"/>
          <w:cols w:space="0" w:num="1"/>
          <w:rtlGutter w:val="0"/>
          <w:docGrid w:type="linesAndChars" w:linePitch="378" w:charSpace="5734"/>
        </w:sectPr>
      </w:pPr>
      <w:r>
        <w:rPr>
          <w:rFonts w:hint="default" w:asciiTheme="majorEastAsia" w:hAnsiTheme="majorEastAsia" w:eastAsiaTheme="majorEastAsia" w:cstheme="majorEastAsia"/>
          <w:sz w:val="24"/>
          <w:szCs w:val="24"/>
          <w:lang w:val="en-US" w:eastAsia="zh-CN"/>
        </w:rPr>
        <w:fldChar w:fldCharType="end"/>
      </w:r>
    </w:p>
    <w:p w14:paraId="72AD887A">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rPr>
      </w:pPr>
      <w:bookmarkStart w:id="0" w:name="_Toc22155"/>
      <w:r>
        <w:rPr>
          <w:rFonts w:hint="eastAsia"/>
          <w:lang w:val="en-US" w:eastAsia="zh-CN"/>
        </w:rPr>
        <w:t xml:space="preserve">第一章 </w:t>
      </w:r>
      <w:r>
        <w:rPr>
          <w:rFonts w:hint="eastAsia"/>
        </w:rPr>
        <w:t>项目概述</w:t>
      </w:r>
      <w:bookmarkEnd w:id="0"/>
    </w:p>
    <w:p w14:paraId="6724A313">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rPr>
      </w:pPr>
      <w:bookmarkStart w:id="1" w:name="_Toc15993"/>
      <w:r>
        <w:rPr>
          <w:rFonts w:hint="eastAsia" w:ascii="黑体" w:hAnsi="黑体" w:eastAsia="黑体" w:cs="黑体"/>
          <w:b w:val="0"/>
          <w:bCs w:val="0"/>
          <w:sz w:val="28"/>
          <w:szCs w:val="240"/>
        </w:rPr>
        <w:t>1.1 项目简介</w:t>
      </w:r>
      <w:bookmarkEnd w:id="1"/>
    </w:p>
    <w:p w14:paraId="2FC32699">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名为“碳融智核——基于多模态AI的供应链碳会计与绿色信用评级系统”，是一款聚焦中小企业绿色发展需求的轻量化数字化工具。在国家“双碳”战略深入推进、绿色金融规模持续扩大、市场绿色转型需求迫切的背景下，项目针对中小企业数据管理不规范、合规成本高、融资对接难的核心痛点，构建了“数据采集-核算分析-报告生成-金融对接”全链路数字化服务体系。</w:t>
      </w:r>
    </w:p>
    <w:p w14:paraId="3F15CDCA">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以人工填报为对照，目标将数据整理与报告生成周期从‘周级’压缩到‘天/小时级’。平台依托多模态AI技术，实现了多源数据智能采集与治理、自动化碳核算与ESG评分、AIGC智能报告生成、绿色金融产品智能匹配及可视化数据驾驶舱五大核心功能，致力于将企业数据管理人力成本降低70%，合规成本降低40%以上，打通绿色金融普惠通道，助力中小企业实现数字化转型与绿色低碳发展的双重升级，最终构建“企业成长+环境友好”的产业新生态。</w:t>
      </w:r>
    </w:p>
    <w:p w14:paraId="27216D0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rPr>
      </w:pPr>
      <w:bookmarkStart w:id="2" w:name="_Toc13940"/>
      <w:r>
        <w:rPr>
          <w:rFonts w:hint="eastAsia" w:ascii="黑体" w:hAnsi="黑体" w:eastAsia="黑体" w:cs="黑体"/>
          <w:b w:val="0"/>
          <w:bCs w:val="0"/>
          <w:sz w:val="28"/>
          <w:szCs w:val="240"/>
        </w:rPr>
        <w:t>1.2 用户识别与划分</w:t>
      </w:r>
      <w:bookmarkEnd w:id="2"/>
    </w:p>
    <w:p w14:paraId="10A0E8C9">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项目服务场景与企业需求差异，核心用户群体划分为三大细分领域。首先是电商生态中小企业，电商生态中小企业主要以淘宝、京东、拼多多等平台商家为主，这类企业整体数字化基础较好，日常经营高度围绕订单履约、物流配送与包装耗材使用展开，核心诉求是满足平台绿色商家认证与减碳订单申报要求，获得绿色流量扶持，避免因绿色指标不达标造成订单流失，因此对高频次、场景化的碳核算服务以及标准化 ESG 报告存在明确且持续的需求。其次是制造业小微企业，以中小型机械加工、轻工制造类企业为代表，企业自身具备一定的生产能耗数据积累，核心目标是申报政府绿色技改补贴、对接银行绿色信贷，需要合规可信的碳排放数据与 ESG 评分作为申报与融资的重要支撑，同时对服务成本有着较为严格的控制要求。最后是供应链配套企业，它主要为沃尔玛、京东等大型链主企业提供零部件、包装等配套服务，受下游核心企业绿色准入门槛约束，其核心需求是快速生成符合合作方要求的标准化 ESG 报告，满足供应链 ESG 评价标准，以此保障与核心客户的长期稳定合作。</w:t>
      </w:r>
    </w:p>
    <w:p w14:paraId="38355433">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项目首阶段将重点聚焦电商生态中小企业，这类群体数字化基础好，碳核算可与订单履约、物流配送等电商高频业务场景深度适配，有利于产品快速落地、功能验证，同时在电商生态内部具备较强的传播扩散能力，待模式与市场验证成熟后，再逐步向制造业小微企业与供应链配套企业进行延伸拓展。</w:t>
      </w:r>
    </w:p>
    <w:p w14:paraId="4065DA7A">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27940</wp:posOffset>
            </wp:positionV>
            <wp:extent cx="5615940" cy="3155315"/>
            <wp:effectExtent l="9525" t="9525" r="13335" b="10160"/>
            <wp:wrapTopAndBottom/>
            <wp:docPr id="30" name="图片 30" descr="b105175b8a80e90a568369f38ff19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105175b8a80e90a568369f38ff1945a"/>
                    <pic:cNvPicPr>
                      <a:picLocks noChangeAspect="1"/>
                    </pic:cNvPicPr>
                  </pic:nvPicPr>
                  <pic:blipFill>
                    <a:blip r:embed="rId10"/>
                    <a:stretch>
                      <a:fillRect/>
                    </a:stretch>
                  </pic:blipFill>
                  <pic:spPr>
                    <a:xfrm>
                      <a:off x="0" y="0"/>
                      <a:ext cx="5615940" cy="315531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w:t>
      </w:r>
      <w:r>
        <w:rPr>
          <w:rFonts w:hint="eastAsia" w:asciiTheme="majorEastAsia" w:hAnsiTheme="majorEastAsia" w:eastAsiaTheme="majorEastAsia" w:cstheme="majorEastAsia"/>
          <w:b/>
          <w:bCs/>
        </w:rPr>
        <w:fldChar w:fldCharType="end"/>
      </w:r>
      <w:bookmarkStart w:id="3" w:name="_Toc19760"/>
      <w:r>
        <w:rPr>
          <w:rFonts w:hint="eastAsia" w:asciiTheme="majorEastAsia" w:hAnsiTheme="majorEastAsia" w:eastAsiaTheme="majorEastAsia" w:cstheme="majorEastAsia"/>
          <w:b/>
          <w:bCs/>
          <w:lang w:eastAsia="zh-CN"/>
        </w:rPr>
        <w:t xml:space="preserve"> 碳融智核产品核心服务体系架构图</w:t>
      </w:r>
      <w:bookmarkEnd w:id="3"/>
    </w:p>
    <w:p w14:paraId="5D277AD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4" w:name="_Toc17632"/>
      <w:r>
        <w:rPr>
          <w:rFonts w:hint="eastAsia" w:ascii="黑体" w:hAnsi="黑体" w:eastAsia="黑体" w:cs="黑体"/>
          <w:b w:val="0"/>
          <w:bCs w:val="0"/>
          <w:sz w:val="28"/>
          <w:szCs w:val="240"/>
          <w:lang w:eastAsia="zh-CN"/>
        </w:rPr>
        <w:t>1.3 产品定位与服务</w:t>
      </w:r>
      <w:bookmarkEnd w:id="4"/>
    </w:p>
    <w:p w14:paraId="5772627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5" w:name="_Toc25968"/>
      <w:r>
        <w:rPr>
          <w:rFonts w:hint="eastAsia" w:ascii="黑体" w:hAnsi="黑体" w:eastAsia="黑体" w:cs="黑体"/>
          <w:lang w:eastAsia="zh-CN"/>
        </w:rPr>
        <w:t>1.3.1 产品定位</w:t>
      </w:r>
      <w:bookmarkEnd w:id="5"/>
    </w:p>
    <w:p w14:paraId="46D6BC28">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碳融智核 —— 基于多模态 AI 的供应链碳会计与绿色信用评级系统，定位为 “中小企业绿色经营的轻量化数字工具”，专为电商生态、制造业小微及供应链配套企业打造。系统以多模态 AI 技术为核心，既能完成组织层面碳核算，也能精准覆盖电商场景的产品碳足迹核算，深度适配电商订单履约、物流配送等高频业务，把绿色管理真正嵌入企业日常经营流程。</w:t>
      </w:r>
    </w:p>
    <w:p w14:paraId="2F6891DA">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区别于传统咨询公司的高收费人工服务和大型企业专用系统的复杂操作，碳融智核以 “轻量易用、傻瓜化操作、低成本高效能” 为核心优势，让中小企业无需专业团队，就能够快速完成合规碳核算、生成标准化 ESG 报告，同步获得绿色信用评级。我们致力于成为中小企业的 “数字化 + 绿色管理” 一站式伙伴，以陪伴式服务降低绿色转型门槛，帮助小企业轻松抓住平台绿色流量、政府补贴与绿色信贷等政策红利，在供应链绿色准入中站稳脚跟，实现绿色可持续发展。</w:t>
      </w:r>
    </w:p>
    <w:p w14:paraId="006F032C">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35CBF3F9">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0B1954D7">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2D05C0E0">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36E0E7F7">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70E442DF">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1370E33A">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3C83DB7D">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p>
    <w:p w14:paraId="6EB5EFD9">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6" w:name="_Toc21368"/>
      <w:r>
        <w:drawing>
          <wp:anchor distT="0" distB="0" distL="114300" distR="114300" simplePos="0" relativeHeight="251661312" behindDoc="0" locked="0" layoutInCell="1" allowOverlap="1">
            <wp:simplePos x="0" y="0"/>
            <wp:positionH relativeFrom="column">
              <wp:posOffset>0</wp:posOffset>
            </wp:positionH>
            <wp:positionV relativeFrom="paragraph">
              <wp:posOffset>292735</wp:posOffset>
            </wp:positionV>
            <wp:extent cx="5615940" cy="3902710"/>
            <wp:effectExtent l="9525" t="9525" r="13335" b="12065"/>
            <wp:wrapTopAndBottom/>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1"/>
                    <a:stretch>
                      <a:fillRect/>
                    </a:stretch>
                  </pic:blipFill>
                  <pic:spPr>
                    <a:xfrm>
                      <a:off x="0" y="0"/>
                      <a:ext cx="5615940" cy="3902710"/>
                    </a:xfrm>
                    <a:prstGeom prst="rect">
                      <a:avLst/>
                    </a:prstGeom>
                    <a:noFill/>
                    <a:ln>
                      <a:solidFill>
                        <a:schemeClr val="tx1"/>
                      </a:solidFill>
                    </a:ln>
                  </pic:spPr>
                </pic:pic>
              </a:graphicData>
            </a:graphic>
          </wp:anchor>
        </w:drawing>
      </w:r>
      <w:r>
        <w:rPr>
          <w:rFonts w:hint="eastAsia" w:ascii="黑体" w:hAnsi="黑体" w:eastAsia="黑体" w:cs="黑体"/>
          <w:lang w:eastAsia="zh-CN"/>
        </w:rPr>
        <w:t>1.3.2 核心服务</w:t>
      </w:r>
      <w:bookmarkEnd w:id="6"/>
    </w:p>
    <w:p w14:paraId="4021A976">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2</w:t>
      </w:r>
      <w:r>
        <w:rPr>
          <w:rFonts w:hint="eastAsia" w:asciiTheme="majorEastAsia" w:hAnsiTheme="majorEastAsia" w:eastAsiaTheme="majorEastAsia" w:cstheme="majorEastAsia"/>
          <w:b/>
          <w:bCs/>
        </w:rPr>
        <w:fldChar w:fldCharType="end"/>
      </w:r>
      <w:bookmarkStart w:id="7" w:name="_Toc8006"/>
      <w:r>
        <w:rPr>
          <w:rFonts w:hint="eastAsia" w:asciiTheme="majorEastAsia" w:hAnsiTheme="majorEastAsia" w:eastAsiaTheme="majorEastAsia" w:cstheme="majorEastAsia"/>
          <w:b/>
          <w:bCs/>
          <w:lang w:eastAsia="zh-CN"/>
        </w:rPr>
        <w:t xml:space="preserve"> 碳融智核项目核心用户群体需求画像图</w:t>
      </w:r>
      <w:bookmarkEnd w:id="7"/>
    </w:p>
    <w:p w14:paraId="22491E84">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8" w:name="_Toc16554"/>
      <w:r>
        <w:rPr>
          <w:rFonts w:hint="eastAsia" w:ascii="黑体" w:hAnsi="黑体" w:eastAsia="黑体" w:cs="黑体"/>
          <w:b w:val="0"/>
          <w:bCs w:val="0"/>
          <w:sz w:val="28"/>
          <w:szCs w:val="240"/>
          <w:lang w:eastAsia="zh-CN"/>
        </w:rPr>
        <w:t>1.4 市场分析</w:t>
      </w:r>
      <w:bookmarkEnd w:id="8"/>
    </w:p>
    <w:p w14:paraId="6DB278D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9" w:name="_Toc8163"/>
      <w:r>
        <w:rPr>
          <w:rFonts w:hint="eastAsia" w:ascii="黑体" w:hAnsi="黑体" w:eastAsia="黑体" w:cs="黑体"/>
          <w:lang w:eastAsia="zh-CN"/>
        </w:rPr>
        <w:t>1.4.1 市场规模与增长潜力</w:t>
      </w:r>
      <w:bookmarkEnd w:id="9"/>
    </w:p>
    <w:p w14:paraId="2D1D9E0F">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当前，碳管理与 ESG 服务市场在政策驱动与市场需求双重作用下快速扩容。从中小企业绿色转型需求的发展趋势（见下图）可见，2018-2023 年相关需求呈现出从萌芽到爆发的清晰脉络：</w:t>
      </w:r>
    </w:p>
    <w:p w14:paraId="77F56D97">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在市场发展初期，中小企业对碳管理与 ESG 服务的认知和需求尚处于起步阶段，整体渗透率较低。随着 “双碳” 目标的提出与绿色金融试点的推进，政策与市场的双重信号开始显现，企业主动布局绿色转型的意愿显著增强，需求渗透率实现跨越式增长。此后，绿色供应链管理升级与消费端绿色偏好的倒逼机制逐步强化，推动绿色转型从企业的 “可选项” 转变为 “必选项”，需求渗透率持续攀升至高位。</w:t>
      </w:r>
    </w:p>
    <w:p w14:paraId="3F8DDB70">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国家层面，绿色信贷规模持续攀升，2025 年 9 月末绿色贷款余额达 43.51 万亿元，同比增长 17.5%；地方层面，多地将 ESG 表现与政府补贴、政府采购挂钩，进一步强化转型动力。同时，绿色消费意愿持续高涨，83.6% 的居民具备绿色消费意愿，21-40 岁核心群体占比达 79.3%，推动企业绿色能力成为核心竞争力。</w:t>
      </w:r>
    </w:p>
    <w:p w14:paraId="04D483F0">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然而，市场供给存在结构性矛盾，传统咨询服务年费 5-20 万元，大型企业专用系统部署成本 10-50 万元，均远超中小企业承受能力，聚焦中小企业的专业化、轻量化碳与 ESG 管理平台成为市场空白点，发展潜力巨大。</w:t>
      </w:r>
    </w:p>
    <w:p w14:paraId="6A2DE226">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62336" behindDoc="0" locked="0" layoutInCell="1" allowOverlap="1">
            <wp:simplePos x="0" y="0"/>
            <wp:positionH relativeFrom="column">
              <wp:posOffset>0</wp:posOffset>
            </wp:positionH>
            <wp:positionV relativeFrom="paragraph">
              <wp:posOffset>36830</wp:posOffset>
            </wp:positionV>
            <wp:extent cx="5615940" cy="2799080"/>
            <wp:effectExtent l="0" t="0" r="10160" b="7620"/>
            <wp:wrapTopAndBottom/>
            <wp:docPr id="1" name="图片 1" descr="b310fc82b6c4bcf7730ee7ad19e1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310fc82b6c4bcf7730ee7ad19e18288"/>
                    <pic:cNvPicPr>
                      <a:picLocks noChangeAspect="1"/>
                    </pic:cNvPicPr>
                  </pic:nvPicPr>
                  <pic:blipFill>
                    <a:blip r:embed="rId12"/>
                    <a:srcRect t="11461"/>
                    <a:stretch>
                      <a:fillRect/>
                    </a:stretch>
                  </pic:blipFill>
                  <pic:spPr>
                    <a:xfrm>
                      <a:off x="0" y="0"/>
                      <a:ext cx="5615940" cy="2799080"/>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3</w:t>
      </w:r>
      <w:r>
        <w:rPr>
          <w:rFonts w:hint="eastAsia" w:asciiTheme="majorEastAsia" w:hAnsiTheme="majorEastAsia" w:eastAsiaTheme="majorEastAsia" w:cstheme="majorEastAsia"/>
          <w:b/>
          <w:bCs/>
        </w:rPr>
        <w:fldChar w:fldCharType="end"/>
      </w:r>
      <w:bookmarkStart w:id="10" w:name="_Toc28994"/>
      <w:r>
        <w:rPr>
          <w:rFonts w:hint="eastAsia" w:asciiTheme="majorEastAsia" w:hAnsiTheme="majorEastAsia" w:eastAsiaTheme="majorEastAsia" w:cstheme="majorEastAsia"/>
          <w:b/>
          <w:bCs/>
          <w:lang w:eastAsia="zh-CN"/>
        </w:rPr>
        <w:t xml:space="preserve"> 2018—2023年我国居民绿色消费意愿变化趋势</w:t>
      </w:r>
      <w:bookmarkEnd w:id="10"/>
    </w:p>
    <w:p w14:paraId="62254935">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11" w:name="_Toc26558"/>
      <w:r>
        <w:rPr>
          <w:rFonts w:hint="eastAsia" w:ascii="黑体" w:hAnsi="黑体" w:eastAsia="黑体" w:cs="黑体"/>
          <w:lang w:eastAsia="zh-CN"/>
        </w:rPr>
        <w:t>1.4.2 竞争格局</w:t>
      </w:r>
      <w:bookmarkEnd w:id="11"/>
    </w:p>
    <w:p w14:paraId="14197E7F">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市场现有竞品主要分为传统咨询公司服务、大型企业专用系统两类，二</w:t>
      </w:r>
      <w:r>
        <w:rPr>
          <w:rFonts w:hint="eastAsia" w:asciiTheme="minorEastAsia" w:hAnsiTheme="minorEastAsia" w:eastAsiaTheme="minorEastAsia" w:cstheme="minorEastAsia"/>
          <w:lang w:eastAsia="zh-CN"/>
        </w:rPr>
        <w:t>者均未真正覆盖中小企业这一核心群体。而碳融智核立足中小微企业真实痛点，聚焦中小企业需求，在多维度形成显著差异化竞争优势。</w:t>
      </w:r>
    </w:p>
    <w:p w14:paraId="51EE1A10">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eastAsia="zh-CN"/>
        </w:rPr>
      </w:pPr>
      <w:r>
        <w:rPr>
          <w:rFonts w:hint="eastAsia" w:asciiTheme="minorEastAsia" w:hAnsiTheme="minorEastAsia" w:eastAsiaTheme="minorEastAsia" w:cstheme="minorEastAsia"/>
          <w:b/>
          <w:bCs/>
          <w:lang w:eastAsia="zh-CN"/>
        </w:rPr>
        <w:t>目标用户与市场空白</w:t>
      </w:r>
    </w:p>
    <w:p w14:paraId="1C110CF6">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传统咨询公司与大型企业系统，均以大型集团、上市公司、高耗能龙头为核心客户，服务收费高、方案重、定制化程度高，而电商、制造小微、供应链配套企业规模小、预算有限，但碳合规、绿色认证、融资申报需求极为迫切，属于当前市场的空白刚需地带，也是碳融智核的核心服务对象。</w:t>
      </w:r>
    </w:p>
    <w:p w14:paraId="1721A9A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eastAsia="zh-CN"/>
        </w:rPr>
      </w:pPr>
      <w:r>
        <w:rPr>
          <w:rFonts w:hint="eastAsia" w:asciiTheme="minorEastAsia" w:hAnsiTheme="minorEastAsia" w:eastAsiaTheme="minorEastAsia" w:cstheme="minorEastAsia"/>
          <w:b/>
          <w:bCs/>
          <w:lang w:eastAsia="zh-CN"/>
        </w:rPr>
        <w:t>服务模式与效率</w:t>
      </w:r>
    </w:p>
    <w:p w14:paraId="68D80C3D">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传统咨询以人工上门、手动核算、周期长为主，一份报告通常需要2–4 周，企业自主性弱、响应慢；大型系统则需要本地化部署、定制开发、专人运维，上线慢、流程重。</w:t>
      </w:r>
    </w:p>
    <w:p w14:paraId="236801B4">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碳融智核采用SaaS 云端 + AI 自动化模式，无需线下对接，企业可线上自主完成核算、分析、报告全流程，24 小时内即可出结果，响应速度与灵活度远超传统模式。</w:t>
      </w:r>
    </w:p>
    <w:p w14:paraId="1B6E111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eastAsia="zh-CN"/>
        </w:rPr>
      </w:pPr>
      <w:r>
        <w:rPr>
          <w:rFonts w:hint="eastAsia" w:asciiTheme="minorEastAsia" w:hAnsiTheme="minorEastAsia" w:eastAsiaTheme="minorEastAsia" w:cstheme="minorEastAsia"/>
          <w:b/>
          <w:bCs/>
          <w:lang w:eastAsia="zh-CN"/>
        </w:rPr>
        <w:t>成本与使用门槛</w:t>
      </w:r>
    </w:p>
    <w:p w14:paraId="7E440975">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传统咨询年费普遍5 万–20 万元，大型系统初始投入10 万–50 万元，再加每年运维费用，远超中小企业承受能力，且操作复杂，必须依赖专业人员。</w:t>
      </w:r>
    </w:p>
    <w:p w14:paraId="47DC87E9">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碳融智核以轻量化、低成本、零门槛为核心优势，无部署费用，年费仅0.5 万–2 万元，界面简洁、一键操作，普通员工即可上手，真正做到低成本、高效率、易使用。</w:t>
      </w:r>
    </w:p>
    <w:p w14:paraId="7F9DC0B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eastAsia="zh-CN"/>
        </w:rPr>
      </w:pPr>
      <w:r>
        <w:rPr>
          <w:rFonts w:hint="eastAsia" w:asciiTheme="minorEastAsia" w:hAnsiTheme="minorEastAsia" w:eastAsiaTheme="minorEastAsia" w:cstheme="minorEastAsia"/>
          <w:b/>
          <w:bCs/>
          <w:lang w:eastAsia="zh-CN"/>
        </w:rPr>
        <w:t>核心竞争优势总结</w:t>
      </w:r>
    </w:p>
    <w:p w14:paraId="45AB9470">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相较于高收费、慢响应、高门槛的传统服务，碳融智核以AI 驱动 + SaaS 化，精准填补中小微企业市场空白，用更低成本、更高效率、更简单操作、更贴合场景的一站式工具，成为中小企业绿色经营的首选数字化伙伴。</w:t>
      </w:r>
    </w:p>
    <w:p w14:paraId="7C46894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12" w:name="_Toc4552"/>
      <w:r>
        <w:rPr>
          <w:rFonts w:hint="eastAsia" w:ascii="黑体" w:hAnsi="黑体" w:eastAsia="黑体" w:cs="黑体"/>
          <w:b w:val="0"/>
          <w:bCs w:val="0"/>
          <w:sz w:val="28"/>
          <w:szCs w:val="240"/>
          <w:lang w:eastAsia="zh-CN"/>
        </w:rPr>
        <w:t>1.5 盈利模式</w:t>
      </w:r>
      <w:bookmarkEnd w:id="12"/>
    </w:p>
    <w:p w14:paraId="2C004E12">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项目采用“基础服务免费+增值服务付费+生态合作分成”的多元化盈利模式，兼顾用户增长与商业变现：基础版功能永久免费以积累用户；推出标准版、高级版订阅及定制化咨询服务实现增值变现；配套场景化工具包精准匹配细分需求收费；与金融机构、电商平台等生态伙伴合作，收取分成或技术服务费。</w:t>
      </w:r>
    </w:p>
    <w:p w14:paraId="0255326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13" w:name="_Toc14407"/>
      <w:r>
        <w:rPr>
          <w:rFonts w:hint="eastAsia" w:ascii="黑体" w:hAnsi="黑体" w:eastAsia="黑体" w:cs="黑体"/>
          <w:b w:val="0"/>
          <w:bCs w:val="0"/>
          <w:sz w:val="28"/>
          <w:szCs w:val="240"/>
          <w:lang w:eastAsia="zh-CN"/>
        </w:rPr>
        <w:t>1.6 市场营销</w:t>
      </w:r>
      <w:bookmarkEnd w:id="13"/>
    </w:p>
    <w:p w14:paraId="29EE9FF2">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14" w:name="_Toc6820"/>
      <w:r>
        <w:rPr>
          <w:rFonts w:hint="eastAsia" w:ascii="黑体" w:hAnsi="黑体" w:eastAsia="黑体" w:cs="黑体"/>
          <w:lang w:eastAsia="zh-CN"/>
        </w:rPr>
        <w:t>1.6.1 目标市场策略（STP）</w:t>
      </w:r>
      <w:bookmarkEnd w:id="14"/>
    </w:p>
    <w:p w14:paraId="26A7A6FD">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市场细分（Segmentation）：</w:t>
      </w:r>
      <w:r>
        <w:rPr>
          <w:rFonts w:hint="eastAsia" w:asciiTheme="minorEastAsia" w:hAnsiTheme="minorEastAsia" w:eastAsiaTheme="minorEastAsia" w:cstheme="minorEastAsia"/>
          <w:lang w:val="en-US" w:eastAsia="zh-CN"/>
        </w:rPr>
        <w:t>聚焦电商生态中小企业、制造业小微企业、供应链配套企业三大细分市场，明确各市场核心需求差异；</w:t>
      </w:r>
    </w:p>
    <w:p w14:paraId="316AF3A2">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目标市场选择（Targeting）：</w:t>
      </w:r>
      <w:r>
        <w:rPr>
          <w:rFonts w:hint="eastAsia" w:asciiTheme="minorEastAsia" w:hAnsiTheme="minorEastAsia" w:eastAsiaTheme="minorEastAsia" w:cstheme="minorEastAsia"/>
          <w:lang w:val="en-US" w:eastAsia="zh-CN"/>
        </w:rPr>
        <w:t>首阶段重点攻克电商生态中小企业，利用其需求迫切、场景适配、传播性强的特点快速打开市场，后续逐步辐射其他两类用户；</w:t>
      </w:r>
    </w:p>
    <w:p w14:paraId="6508EB15">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市场定位（Positioning）：</w:t>
      </w:r>
      <w:r>
        <w:rPr>
          <w:rFonts w:hint="eastAsia" w:asciiTheme="minorEastAsia" w:hAnsiTheme="minorEastAsia" w:eastAsiaTheme="minorEastAsia" w:cstheme="minorEastAsia"/>
          <w:lang w:val="en-US" w:eastAsia="zh-CN"/>
        </w:rPr>
        <w:t>以“轻量化、一站式、伙伴式”为核心定位，突出“傻瓜化操作、低成本高效能”的差异化价值，打造中小企业绿色经营的“身边管家”形象。</w:t>
      </w:r>
    </w:p>
    <w:p w14:paraId="1773DB1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15" w:name="_Toc26354"/>
      <w:r>
        <w:rPr>
          <w:rFonts w:hint="eastAsia" w:ascii="黑体" w:hAnsi="黑体" w:eastAsia="黑体" w:cs="黑体"/>
          <w:lang w:eastAsia="zh-CN"/>
        </w:rPr>
        <w:t>1.6.2 推广策略（4P）</w:t>
      </w:r>
      <w:bookmarkEnd w:id="15"/>
    </w:p>
    <w:p w14:paraId="45C3C2A8">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产品（Product）：</w:t>
      </w:r>
      <w:r>
        <w:rPr>
          <w:rFonts w:hint="eastAsia" w:asciiTheme="minorEastAsia" w:hAnsiTheme="minorEastAsia" w:eastAsiaTheme="minorEastAsia" w:cstheme="minorEastAsia"/>
          <w:lang w:val="en-US" w:eastAsia="zh-CN"/>
        </w:rPr>
        <w:t>强化场景化功能设计，优化免费试用机制，推出分层级产品套餐，满足不同用户需求；</w:t>
      </w:r>
    </w:p>
    <w:p w14:paraId="44EC739D">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价格（Price）：</w:t>
      </w:r>
      <w:r>
        <w:rPr>
          <w:rFonts w:hint="eastAsia" w:asciiTheme="minorEastAsia" w:hAnsiTheme="minorEastAsia" w:eastAsiaTheme="minorEastAsia" w:cstheme="minorEastAsia"/>
          <w:lang w:val="en-US" w:eastAsia="zh-CN"/>
        </w:rPr>
        <w:t>采用“免费+付费”混合定价，年付享受折扣优惠，月付灵活可选，首单用户享7折优惠，降低用户决策门槛；</w:t>
      </w:r>
    </w:p>
    <w:p w14:paraId="5A0CF5E1">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渠道（Place）：</w:t>
      </w:r>
      <w:r>
        <w:rPr>
          <w:rFonts w:hint="eastAsia" w:asciiTheme="minorEastAsia" w:hAnsiTheme="minorEastAsia" w:eastAsiaTheme="minorEastAsia" w:cstheme="minorEastAsia"/>
          <w:lang w:val="en-US" w:eastAsia="zh-CN"/>
        </w:rPr>
        <w:t>线上通过官网、微信公众号、小程序、抖音等平台开展内容营销与社群运营，线下与政府部门、中小企业协会、电商平台、供应链服务商合作，通过交流会、政策宣讲会等形式批量触达目标用户；</w:t>
      </w:r>
    </w:p>
    <w:p w14:paraId="78F743BB">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促销（Promotion）：</w:t>
      </w:r>
      <w:r>
        <w:rPr>
          <w:rFonts w:hint="eastAsia" w:asciiTheme="minorEastAsia" w:hAnsiTheme="minorEastAsia" w:eastAsiaTheme="minorEastAsia" w:cstheme="minorEastAsia"/>
          <w:lang w:val="en-US" w:eastAsia="zh-CN"/>
        </w:rPr>
        <w:t>新用户注册即送免费报告生成额度，邀请好友注册可享额外优惠；政策申报季、电商大促前推出场景化促销套餐，绑定企业关键需求节点，提升转化效率。</w:t>
      </w:r>
    </w:p>
    <w:p w14:paraId="2148D024">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16" w:name="_Toc2310"/>
      <w:r>
        <w:rPr>
          <w:rFonts w:hint="eastAsia" w:ascii="黑体" w:hAnsi="黑体" w:eastAsia="黑体" w:cs="黑体"/>
          <w:b w:val="0"/>
          <w:bCs w:val="0"/>
          <w:sz w:val="28"/>
          <w:szCs w:val="240"/>
          <w:lang w:eastAsia="zh-CN"/>
        </w:rPr>
        <w:t>1.7 发展战略</w:t>
      </w:r>
      <w:bookmarkEnd w:id="16"/>
    </w:p>
    <w:p w14:paraId="0B34863A">
      <w:pPr>
        <w:rPr>
          <w:rFonts w:hint="eastAsia" w:ascii="黑体" w:hAnsi="黑体" w:eastAsia="黑体" w:cs="黑体"/>
          <w:b w:val="0"/>
          <w:bCs w:val="0"/>
          <w:sz w:val="28"/>
          <w:szCs w:val="240"/>
          <w:lang w:eastAsia="zh-CN"/>
        </w:rPr>
      </w:pPr>
    </w:p>
    <w:p w14:paraId="6536CC2F">
      <w:pPr>
        <w:rPr>
          <w:rFonts w:hint="eastAsia" w:ascii="黑体" w:hAnsi="黑体" w:eastAsia="黑体" w:cs="黑体"/>
          <w:b w:val="0"/>
          <w:bCs w:val="0"/>
          <w:sz w:val="28"/>
          <w:szCs w:val="240"/>
          <w:lang w:eastAsia="zh-CN"/>
        </w:rPr>
      </w:pPr>
    </w:p>
    <w:p w14:paraId="654A73B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bookmarkStart w:id="17" w:name="_Toc25587"/>
      <w:r>
        <w:rPr>
          <w:rFonts w:hint="eastAsia" w:asciiTheme="majorEastAsia" w:hAnsiTheme="majorEastAsia" w:eastAsiaTheme="majorEastAsia" w:cstheme="majorEastAsia"/>
          <w:b/>
          <w:bCs/>
        </w:rPr>
        <w:drawing>
          <wp:anchor distT="0" distB="0" distL="0" distR="0" simplePos="0" relativeHeight="251663360" behindDoc="0" locked="0" layoutInCell="1" allowOverlap="1">
            <wp:simplePos x="0" y="0"/>
            <wp:positionH relativeFrom="column">
              <wp:posOffset>0</wp:posOffset>
            </wp:positionH>
            <wp:positionV relativeFrom="paragraph">
              <wp:posOffset>86360</wp:posOffset>
            </wp:positionV>
            <wp:extent cx="5615940" cy="3187065"/>
            <wp:effectExtent l="9525" t="9525" r="13335" b="16510"/>
            <wp:wrapTopAndBottom/>
            <wp:docPr id="2116407418" name="图片 211640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7418" name="图片 2116407418"/>
                    <pic:cNvPicPr>
                      <a:picLocks noChangeAspect="1"/>
                    </pic:cNvPicPr>
                  </pic:nvPicPr>
                  <pic:blipFill>
                    <a:blip r:embed="rId13"/>
                    <a:stretch>
                      <a:fillRect/>
                    </a:stretch>
                  </pic:blipFill>
                  <pic:spPr>
                    <a:xfrm>
                      <a:off x="0" y="0"/>
                      <a:ext cx="5615940" cy="3187065"/>
                    </a:xfrm>
                    <a:prstGeom prst="rect">
                      <a:avLst/>
                    </a:prstGeom>
                    <a:noFill/>
                    <a:ln>
                      <a:solidFill>
                        <a:schemeClr val="tx1"/>
                      </a:solidFill>
                    </a:ln>
                  </pic:spPr>
                </pic:pic>
              </a:graphicData>
            </a:graphic>
          </wp:anchor>
        </w:drawing>
      </w:r>
      <w:bookmarkEnd w:id="17"/>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4</w:t>
      </w:r>
      <w:r>
        <w:rPr>
          <w:rFonts w:hint="eastAsia" w:asciiTheme="majorEastAsia" w:hAnsiTheme="majorEastAsia" w:eastAsiaTheme="majorEastAsia" w:cstheme="majorEastAsia"/>
          <w:b/>
          <w:bCs/>
        </w:rPr>
        <w:fldChar w:fldCharType="end"/>
      </w:r>
      <w:bookmarkStart w:id="18" w:name="_Toc24226"/>
      <w:r>
        <w:rPr>
          <w:rFonts w:hint="eastAsia" w:asciiTheme="majorEastAsia" w:hAnsiTheme="majorEastAsia" w:eastAsiaTheme="majorEastAsia" w:cstheme="majorEastAsia"/>
          <w:b/>
          <w:bCs/>
          <w:lang w:eastAsia="zh-CN"/>
        </w:rPr>
        <w:t xml:space="preserve"> 项目全周期实施计划图</w:t>
      </w:r>
      <w:bookmarkEnd w:id="18"/>
    </w:p>
    <w:p w14:paraId="2C70DAC8">
      <w:pPr>
        <w:keepNext w:val="0"/>
        <w:keepLines w:val="0"/>
        <w:pageBreakBefore w:val="0"/>
        <w:widowControl w:val="0"/>
        <w:kinsoku/>
        <w:wordWrap/>
        <w:overflowPunct/>
        <w:topLinePunct w:val="0"/>
        <w:autoSpaceDE/>
        <w:autoSpaceDN/>
        <w:bidi w:val="0"/>
        <w:adjustRightInd/>
        <w:snapToGrid/>
        <w:ind w:left="0"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项目规划15个月全周期实施计划，分三阶段推进，实现从产品落地到市场规模化：</w:t>
      </w:r>
    </w:p>
    <w:p w14:paraId="43702B8C">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前期（3个月）：</w:t>
      </w:r>
      <w:r>
        <w:rPr>
          <w:rFonts w:hint="eastAsia" w:asciiTheme="minorEastAsia" w:hAnsiTheme="minorEastAsia" w:eastAsiaTheme="minorEastAsia" w:cstheme="minorEastAsia"/>
          <w:lang w:eastAsia="zh-CN"/>
        </w:rPr>
        <w:t>团队搭建与需求梳理阶段：完成跨学科团队组建与分工，搜集政策、行业案例、企业数据样本与竞品信息，通过问卷调研与深度访谈明确用户需求，输出《需求要点清单》，奠定产品开发基础。</w:t>
      </w:r>
    </w:p>
    <w:p w14:paraId="663607E8">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中期（6个月）：</w:t>
      </w:r>
      <w:r>
        <w:rPr>
          <w:rFonts w:hint="eastAsia" w:asciiTheme="minorEastAsia" w:hAnsiTheme="minorEastAsia" w:eastAsiaTheme="minorEastAsia" w:cstheme="minorEastAsia"/>
          <w:lang w:eastAsia="zh-CN"/>
        </w:rPr>
        <w:t>产品开发与测试阶段：完成OCR票据识别模块、碳核算与ESG评分模型、AIGC报告生成引擎开发，构建数据处理流水线，集成MVP最小可行产品，开展α测试与迭代优化，完成技术文档汇编。</w:t>
      </w:r>
    </w:p>
    <w:p w14:paraId="66729D10">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后期（6个月）：</w:t>
      </w:r>
      <w:r>
        <w:rPr>
          <w:rFonts w:hint="eastAsia" w:asciiTheme="minorEastAsia" w:hAnsiTheme="minorEastAsia" w:eastAsiaTheme="minorEastAsia" w:cstheme="minorEastAsia"/>
          <w:lang w:eastAsia="zh-CN"/>
        </w:rPr>
        <w:t>市场推广与规模扩张阶段：</w:t>
      </w:r>
    </w:p>
    <w:p w14:paraId="2FF40929">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冷启动期（2个月）：</w:t>
      </w:r>
      <w:r>
        <w:rPr>
          <w:rFonts w:hint="eastAsia" w:asciiTheme="minorEastAsia" w:hAnsiTheme="minorEastAsia" w:eastAsiaTheme="minorEastAsia" w:cstheme="minorEastAsia"/>
          <w:lang w:eastAsia="zh-CN"/>
        </w:rPr>
        <w:t>联动1-2个电商平台与地方中小企业协会，获取100家种子用户，完成产品打磨；</w:t>
      </w:r>
    </w:p>
    <w:p w14:paraId="4E9492D2">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增长期（2个月）：</w:t>
      </w:r>
      <w:r>
        <w:rPr>
          <w:rFonts w:hint="eastAsia" w:asciiTheme="minorEastAsia" w:hAnsiTheme="minorEastAsia" w:eastAsiaTheme="minorEastAsia" w:cstheme="minorEastAsia"/>
          <w:lang w:eastAsia="zh-CN"/>
        </w:rPr>
        <w:t>扩大合作范围，新增京东等平台合作，用户数突破1000家，付费转化率达15%；</w:t>
      </w:r>
    </w:p>
    <w:p w14:paraId="5A1FD23D">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lang w:eastAsia="zh-CN"/>
        </w:rPr>
        <w:t>稳定期（2个月）：</w:t>
      </w:r>
      <w:r>
        <w:rPr>
          <w:rFonts w:hint="eastAsia" w:asciiTheme="minorEastAsia" w:hAnsiTheme="minorEastAsia" w:eastAsiaTheme="minorEastAsia" w:cstheme="minorEastAsia"/>
          <w:lang w:eastAsia="zh-CN"/>
        </w:rPr>
        <w:t>打造10个标杆案例，举办行业峰会，用户数突破800家，增值服务收入占比达15%，树立行业影响力。</w:t>
      </w:r>
    </w:p>
    <w:p w14:paraId="170A25F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长期战略方面，待中小企业市场稳固后，逐步拓展至中大型企业市场，构建“中小企业-中大型企业-金融机构-政府部门”的绿色生态网络，打造国内领先的碳会计与绿色信用评级服务平台。</w:t>
      </w:r>
    </w:p>
    <w:p w14:paraId="1FC334BB">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eastAsia="zh-CN"/>
        </w:rPr>
      </w:pPr>
      <w:bookmarkStart w:id="19" w:name="_Toc10821"/>
      <w:r>
        <w:rPr>
          <w:rFonts w:hint="eastAsia" w:ascii="黑体" w:hAnsi="黑体" w:eastAsia="黑体" w:cs="黑体"/>
          <w:b w:val="0"/>
          <w:bCs w:val="0"/>
          <w:sz w:val="28"/>
          <w:szCs w:val="240"/>
          <w:lang w:eastAsia="zh-CN"/>
        </w:rPr>
        <w:t>1.8 团队介绍</w:t>
      </w:r>
      <w:bookmarkEnd w:id="19"/>
    </w:p>
    <w:p w14:paraId="3F0984A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bookmarkStart w:id="20" w:name="_Toc6855"/>
      <w:r>
        <w:rPr>
          <w:rFonts w:hint="eastAsia" w:ascii="黑体" w:hAnsi="黑体" w:eastAsia="黑体" w:cs="黑体"/>
          <w:lang w:eastAsia="zh-CN"/>
        </w:rPr>
        <w:t>1.8.1 团队构成</w:t>
      </w:r>
      <w:bookmarkEnd w:id="20"/>
    </w:p>
    <w:p w14:paraId="5195DAC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项目团队由中南财经政法大学信息工程学院与工商管理学院跨学科组建，专业背景覆盖人工智能+会计、大数据管理与应用工程、人力资源管理等方向，结构合理、分工明确；技术团队来自信息工程学院，系统掌握数据库原理、数据挖掘、机器学习、Python程序设计等专业技能，具备数据采集与清洗、模型训练与评估、系统开发与可视化能力，负责平台技术架构设计、算法实现与数据分析工作；业务与运营团队来自工商管理学院，熟悉组织行为学、市场营销、人力资源管理与调研方法，具备绿色金融、企业成本结构分析基础，负责用户调研、需求梳理、推广方案撰写、合作资源对接等工作。</w:t>
      </w:r>
    </w:p>
    <w:p w14:paraId="28AC22A5">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w:t>
      </w:r>
      <w:r>
        <w:rPr>
          <w:rFonts w:hint="eastAsia" w:asciiTheme="majorEastAsia" w:hAnsiTheme="majorEastAsia" w:eastAsiaTheme="majorEastAsia" w:cstheme="majorEastAsia"/>
          <w:b/>
          <w:bCs/>
        </w:rPr>
        <w:fldChar w:fldCharType="end"/>
      </w:r>
      <w:bookmarkStart w:id="21" w:name="_Toc4591"/>
      <w:r>
        <w:rPr>
          <w:rFonts w:hint="eastAsia" w:asciiTheme="majorEastAsia" w:hAnsiTheme="majorEastAsia" w:eastAsiaTheme="majorEastAsia" w:cstheme="majorEastAsia"/>
          <w:b/>
          <w:bCs/>
          <w:lang w:eastAsia="zh-CN"/>
        </w:rPr>
        <w:t xml:space="preserve"> 碳融智核项目核心团队成员岗位定位与关键交付物明细表</w:t>
      </w:r>
      <w:bookmarkEnd w:id="21"/>
    </w:p>
    <w:tbl>
      <w:tblPr>
        <w:tblStyle w:val="12"/>
        <w:tblW w:w="4867" w:type="pct"/>
        <w:jc w:val="center"/>
        <w:shd w:val="clear" w:color="auto" w:fill="auto"/>
        <w:tblLayout w:type="fixed"/>
        <w:tblCellMar>
          <w:top w:w="15" w:type="dxa"/>
          <w:left w:w="15" w:type="dxa"/>
          <w:bottom w:w="15" w:type="dxa"/>
          <w:right w:w="15" w:type="dxa"/>
        </w:tblCellMar>
      </w:tblPr>
      <w:tblGrid>
        <w:gridCol w:w="1278"/>
        <w:gridCol w:w="1696"/>
        <w:gridCol w:w="3188"/>
        <w:gridCol w:w="2681"/>
      </w:tblGrid>
      <w:tr w14:paraId="1953E604">
        <w:tblPrEx>
          <w:shd w:val="clear" w:color="auto" w:fill="auto"/>
          <w:tblCellMar>
            <w:top w:w="15" w:type="dxa"/>
            <w:left w:w="15" w:type="dxa"/>
            <w:bottom w:w="15" w:type="dxa"/>
            <w:right w:w="15" w:type="dxa"/>
          </w:tblCellMar>
        </w:tblPrEx>
        <w:trPr>
          <w:tblHeader/>
          <w:jc w:val="center"/>
        </w:trPr>
        <w:tc>
          <w:tcPr>
            <w:tcW w:w="722" w:type="pct"/>
            <w:tcBorders>
              <w:top w:val="single" w:color="000000" w:sz="12" w:space="0"/>
              <w:left w:val="nil"/>
              <w:bottom w:val="single" w:color="000000" w:sz="4" w:space="0"/>
              <w:right w:val="nil"/>
              <w:tl2br w:val="nil"/>
            </w:tcBorders>
            <w:shd w:val="clear" w:color="auto" w:fill="auto"/>
            <w:tcMar>
              <w:top w:w="120" w:type="dxa"/>
              <w:left w:w="120" w:type="dxa"/>
              <w:bottom w:w="120" w:type="dxa"/>
              <w:right w:w="120" w:type="dxa"/>
            </w:tcMar>
            <w:vAlign w:val="center"/>
          </w:tcPr>
          <w:p w14:paraId="2DADD001">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bCs/>
                <w:color w:val="000000"/>
                <w:sz w:val="24"/>
                <w:szCs w:val="24"/>
              </w:rPr>
            </w:pPr>
            <w:r>
              <w:rPr>
                <w:rFonts w:hint="eastAsia" w:asciiTheme="minorEastAsia" w:hAnsiTheme="minorEastAsia" w:eastAsiaTheme="minorEastAsia" w:cstheme="minorEastAsia"/>
                <w:b w:val="0"/>
                <w:bCs/>
                <w:color w:val="000000"/>
                <w:sz w:val="24"/>
                <w:szCs w:val="24"/>
              </w:rPr>
              <w:t>姓名</w:t>
            </w:r>
          </w:p>
        </w:tc>
        <w:tc>
          <w:tcPr>
            <w:tcW w:w="958" w:type="pct"/>
            <w:tcBorders>
              <w:top w:val="single" w:color="000000" w:sz="12" w:space="0"/>
              <w:left w:val="nil"/>
              <w:bottom w:val="single" w:color="000000" w:sz="4" w:space="0"/>
              <w:right w:val="nil"/>
            </w:tcBorders>
            <w:shd w:val="clear" w:color="auto" w:fill="auto"/>
            <w:tcMar>
              <w:top w:w="120" w:type="dxa"/>
              <w:left w:w="120" w:type="dxa"/>
              <w:bottom w:w="120" w:type="dxa"/>
              <w:right w:w="120" w:type="dxa"/>
            </w:tcMar>
            <w:vAlign w:val="center"/>
          </w:tcPr>
          <w:p w14:paraId="0011948D">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bCs/>
                <w:color w:val="000000"/>
                <w:sz w:val="24"/>
                <w:szCs w:val="24"/>
              </w:rPr>
            </w:pPr>
            <w:r>
              <w:rPr>
                <w:rFonts w:hint="eastAsia" w:asciiTheme="minorEastAsia" w:hAnsiTheme="minorEastAsia" w:eastAsiaTheme="minorEastAsia" w:cstheme="minorEastAsia"/>
                <w:b w:val="0"/>
                <w:bCs/>
                <w:color w:val="000000"/>
                <w:sz w:val="24"/>
                <w:szCs w:val="24"/>
              </w:rPr>
              <w:t>岗位定位</w:t>
            </w:r>
          </w:p>
        </w:tc>
        <w:tc>
          <w:tcPr>
            <w:tcW w:w="1802" w:type="pct"/>
            <w:tcBorders>
              <w:top w:val="single" w:color="000000" w:sz="12" w:space="0"/>
              <w:left w:val="nil"/>
              <w:bottom w:val="single" w:color="000000" w:sz="4" w:space="0"/>
              <w:right w:val="nil"/>
            </w:tcBorders>
            <w:shd w:val="clear" w:color="auto" w:fill="auto"/>
            <w:tcMar>
              <w:top w:w="120" w:type="dxa"/>
              <w:left w:w="120" w:type="dxa"/>
              <w:bottom w:w="120" w:type="dxa"/>
              <w:right w:w="120" w:type="dxa"/>
            </w:tcMar>
            <w:vAlign w:val="center"/>
          </w:tcPr>
          <w:p w14:paraId="3D7CA510">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bCs/>
                <w:color w:val="000000"/>
                <w:sz w:val="24"/>
                <w:szCs w:val="24"/>
              </w:rPr>
            </w:pPr>
            <w:r>
              <w:rPr>
                <w:rFonts w:hint="eastAsia" w:asciiTheme="minorEastAsia" w:hAnsiTheme="minorEastAsia" w:eastAsiaTheme="minorEastAsia" w:cstheme="minorEastAsia"/>
                <w:b w:val="0"/>
                <w:bCs/>
                <w:color w:val="000000"/>
                <w:sz w:val="24"/>
                <w:szCs w:val="24"/>
              </w:rPr>
              <w:t>核心职责</w:t>
            </w:r>
          </w:p>
        </w:tc>
        <w:tc>
          <w:tcPr>
            <w:tcW w:w="1515" w:type="pct"/>
            <w:tcBorders>
              <w:top w:val="single" w:color="000000" w:sz="12" w:space="0"/>
              <w:left w:val="nil"/>
              <w:bottom w:val="single" w:color="000000" w:sz="4" w:space="0"/>
              <w:right w:val="nil"/>
            </w:tcBorders>
            <w:shd w:val="clear" w:color="auto" w:fill="auto"/>
            <w:tcMar>
              <w:top w:w="120" w:type="dxa"/>
              <w:left w:w="120" w:type="dxa"/>
              <w:bottom w:w="120" w:type="dxa"/>
              <w:right w:w="120" w:type="dxa"/>
            </w:tcMar>
            <w:vAlign w:val="center"/>
          </w:tcPr>
          <w:p w14:paraId="71D5275C">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bCs/>
                <w:color w:val="000000"/>
                <w:sz w:val="24"/>
                <w:szCs w:val="24"/>
              </w:rPr>
            </w:pPr>
            <w:r>
              <w:rPr>
                <w:rFonts w:hint="eastAsia" w:asciiTheme="minorEastAsia" w:hAnsiTheme="minorEastAsia" w:eastAsiaTheme="minorEastAsia" w:cstheme="minorEastAsia"/>
                <w:b w:val="0"/>
                <w:bCs/>
                <w:color w:val="000000"/>
                <w:sz w:val="24"/>
                <w:szCs w:val="24"/>
              </w:rPr>
              <w:t>关键交付物</w:t>
            </w:r>
          </w:p>
        </w:tc>
      </w:tr>
      <w:tr w14:paraId="3695F660">
        <w:tblPrEx>
          <w:shd w:val="clear" w:color="auto" w:fill="auto"/>
          <w:tblCellMar>
            <w:top w:w="15" w:type="dxa"/>
            <w:left w:w="15" w:type="dxa"/>
            <w:bottom w:w="15" w:type="dxa"/>
            <w:right w:w="15" w:type="dxa"/>
          </w:tblCellMar>
        </w:tblPrEx>
        <w:trPr>
          <w:jc w:val="center"/>
        </w:trPr>
        <w:tc>
          <w:tcPr>
            <w:tcW w:w="722" w:type="pct"/>
            <w:tcBorders>
              <w:top w:val="single" w:color="000000" w:sz="4" w:space="0"/>
              <w:left w:val="nil"/>
              <w:bottom w:val="nil"/>
              <w:right w:val="nil"/>
            </w:tcBorders>
            <w:shd w:val="clear" w:color="auto" w:fill="auto"/>
            <w:tcMar>
              <w:top w:w="120" w:type="dxa"/>
              <w:left w:w="120" w:type="dxa"/>
              <w:bottom w:w="120" w:type="dxa"/>
              <w:right w:w="120" w:type="dxa"/>
            </w:tcMar>
            <w:vAlign w:val="center"/>
          </w:tcPr>
          <w:p w14:paraId="42ABE90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孙尚笪</w:t>
            </w:r>
          </w:p>
        </w:tc>
        <w:tc>
          <w:tcPr>
            <w:tcW w:w="958" w:type="pct"/>
            <w:tcBorders>
              <w:top w:val="single" w:color="000000" w:sz="4" w:space="0"/>
              <w:left w:val="nil"/>
              <w:bottom w:val="nil"/>
              <w:right w:val="nil"/>
            </w:tcBorders>
            <w:shd w:val="clear" w:color="auto" w:fill="auto"/>
            <w:tcMar>
              <w:top w:w="120" w:type="dxa"/>
              <w:left w:w="120" w:type="dxa"/>
              <w:bottom w:w="120" w:type="dxa"/>
              <w:right w:w="120" w:type="dxa"/>
            </w:tcMar>
            <w:vAlign w:val="center"/>
          </w:tcPr>
          <w:p w14:paraId="581715D2">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产品经理</w:t>
            </w:r>
          </w:p>
        </w:tc>
        <w:tc>
          <w:tcPr>
            <w:tcW w:w="1802" w:type="pct"/>
            <w:tcBorders>
              <w:top w:val="single" w:color="000000" w:sz="4" w:space="0"/>
              <w:left w:val="nil"/>
              <w:bottom w:val="nil"/>
              <w:right w:val="nil"/>
            </w:tcBorders>
            <w:shd w:val="clear" w:color="auto" w:fill="auto"/>
            <w:tcMar>
              <w:top w:w="120" w:type="dxa"/>
              <w:left w:w="120" w:type="dxa"/>
              <w:bottom w:w="120" w:type="dxa"/>
              <w:right w:w="120" w:type="dxa"/>
            </w:tcMar>
            <w:vAlign w:val="center"/>
          </w:tcPr>
          <w:p w14:paraId="08ACEB30">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负责产品整体规划、需求调研、功能设计与迭代，统筹产品全生命周期管理</w:t>
            </w:r>
          </w:p>
        </w:tc>
        <w:tc>
          <w:tcPr>
            <w:tcW w:w="1515" w:type="pct"/>
            <w:tcBorders>
              <w:top w:val="single" w:color="000000" w:sz="4" w:space="0"/>
              <w:left w:val="nil"/>
              <w:bottom w:val="nil"/>
              <w:right w:val="nil"/>
            </w:tcBorders>
            <w:shd w:val="clear" w:color="auto" w:fill="auto"/>
            <w:tcMar>
              <w:top w:w="120" w:type="dxa"/>
              <w:left w:w="120" w:type="dxa"/>
              <w:bottom w:w="120" w:type="dxa"/>
              <w:right w:w="120" w:type="dxa"/>
            </w:tcMar>
            <w:vAlign w:val="center"/>
          </w:tcPr>
          <w:p w14:paraId="6CC7585E">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《产品需求文档（PRD）》《产品原型图》《版本迭代 roadmap》《用户需求调研报告》</w:t>
            </w:r>
          </w:p>
        </w:tc>
      </w:tr>
      <w:tr w14:paraId="3ACA8BA2">
        <w:tblPrEx>
          <w:shd w:val="clear" w:color="auto" w:fill="auto"/>
          <w:tblCellMar>
            <w:top w:w="15" w:type="dxa"/>
            <w:left w:w="15" w:type="dxa"/>
            <w:bottom w:w="15" w:type="dxa"/>
            <w:right w:w="15" w:type="dxa"/>
          </w:tblCellMar>
        </w:tblPrEx>
        <w:trPr>
          <w:jc w:val="center"/>
        </w:trPr>
        <w:tc>
          <w:tcPr>
            <w:tcW w:w="722" w:type="pct"/>
            <w:tcBorders>
              <w:top w:val="nil"/>
              <w:left w:val="nil"/>
              <w:bottom w:val="nil"/>
              <w:right w:val="nil"/>
            </w:tcBorders>
            <w:shd w:val="clear" w:color="auto" w:fill="auto"/>
            <w:tcMar>
              <w:top w:w="120" w:type="dxa"/>
              <w:left w:w="120" w:type="dxa"/>
              <w:bottom w:w="120" w:type="dxa"/>
              <w:right w:w="120" w:type="dxa"/>
            </w:tcMar>
            <w:vAlign w:val="center"/>
          </w:tcPr>
          <w:p w14:paraId="32198DD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丁晴源</w:t>
            </w:r>
          </w:p>
        </w:tc>
        <w:tc>
          <w:tcPr>
            <w:tcW w:w="958" w:type="pct"/>
            <w:tcBorders>
              <w:top w:val="nil"/>
              <w:left w:val="nil"/>
              <w:bottom w:val="nil"/>
              <w:right w:val="nil"/>
            </w:tcBorders>
            <w:shd w:val="clear" w:color="auto" w:fill="auto"/>
            <w:tcMar>
              <w:top w:w="120" w:type="dxa"/>
              <w:left w:w="120" w:type="dxa"/>
              <w:bottom w:w="120" w:type="dxa"/>
              <w:right w:w="120" w:type="dxa"/>
            </w:tcMar>
            <w:vAlign w:val="center"/>
          </w:tcPr>
          <w:p w14:paraId="1962C66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算法工程师</w:t>
            </w:r>
          </w:p>
        </w:tc>
        <w:tc>
          <w:tcPr>
            <w:tcW w:w="1802" w:type="pct"/>
            <w:tcBorders>
              <w:top w:val="nil"/>
              <w:left w:val="nil"/>
              <w:bottom w:val="nil"/>
              <w:right w:val="nil"/>
            </w:tcBorders>
            <w:shd w:val="clear" w:color="auto" w:fill="auto"/>
            <w:tcMar>
              <w:top w:w="120" w:type="dxa"/>
              <w:left w:w="120" w:type="dxa"/>
              <w:bottom w:w="120" w:type="dxa"/>
              <w:right w:w="120" w:type="dxa"/>
            </w:tcMar>
            <w:vAlign w:val="center"/>
          </w:tcPr>
          <w:p w14:paraId="7D61FC5C">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负责碳核算模型、ESG 评分模型、AIGC 报告生成引擎的设计、训练与优化</w:t>
            </w:r>
          </w:p>
        </w:tc>
        <w:tc>
          <w:tcPr>
            <w:tcW w:w="1515" w:type="pct"/>
            <w:tcBorders>
              <w:top w:val="nil"/>
              <w:left w:val="nil"/>
              <w:bottom w:val="nil"/>
              <w:right w:val="nil"/>
            </w:tcBorders>
            <w:shd w:val="clear" w:color="auto" w:fill="auto"/>
            <w:tcMar>
              <w:top w:w="120" w:type="dxa"/>
              <w:left w:w="120" w:type="dxa"/>
              <w:bottom w:w="120" w:type="dxa"/>
              <w:right w:w="120" w:type="dxa"/>
            </w:tcMar>
            <w:vAlign w:val="center"/>
          </w:tcPr>
          <w:p w14:paraId="331B564D">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《碳核算算法白皮书》《ESG 评分模型文档》《模型训练与评估报告》《核心算法代码库》</w:t>
            </w:r>
          </w:p>
        </w:tc>
      </w:tr>
      <w:tr w14:paraId="2EEB2643">
        <w:tblPrEx>
          <w:shd w:val="clear" w:color="auto" w:fill="auto"/>
          <w:tblCellMar>
            <w:top w:w="15" w:type="dxa"/>
            <w:left w:w="15" w:type="dxa"/>
            <w:bottom w:w="15" w:type="dxa"/>
            <w:right w:w="15" w:type="dxa"/>
          </w:tblCellMar>
        </w:tblPrEx>
        <w:trPr>
          <w:jc w:val="center"/>
        </w:trPr>
        <w:tc>
          <w:tcPr>
            <w:tcW w:w="722" w:type="pct"/>
            <w:tcBorders>
              <w:top w:val="nil"/>
              <w:left w:val="nil"/>
              <w:bottom w:val="nil"/>
              <w:right w:val="nil"/>
            </w:tcBorders>
            <w:shd w:val="clear" w:color="auto" w:fill="auto"/>
            <w:tcMar>
              <w:top w:w="120" w:type="dxa"/>
              <w:left w:w="120" w:type="dxa"/>
              <w:bottom w:w="120" w:type="dxa"/>
              <w:right w:w="120" w:type="dxa"/>
            </w:tcMar>
            <w:vAlign w:val="center"/>
          </w:tcPr>
          <w:p w14:paraId="075BA085">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张元祚</w:t>
            </w:r>
          </w:p>
        </w:tc>
        <w:tc>
          <w:tcPr>
            <w:tcW w:w="958" w:type="pct"/>
            <w:tcBorders>
              <w:top w:val="nil"/>
              <w:left w:val="nil"/>
              <w:bottom w:val="nil"/>
              <w:right w:val="nil"/>
            </w:tcBorders>
            <w:shd w:val="clear" w:color="auto" w:fill="auto"/>
            <w:tcMar>
              <w:top w:w="120" w:type="dxa"/>
              <w:left w:w="120" w:type="dxa"/>
              <w:bottom w:w="120" w:type="dxa"/>
              <w:right w:w="120" w:type="dxa"/>
            </w:tcMar>
            <w:vAlign w:val="center"/>
          </w:tcPr>
          <w:p w14:paraId="6129B98C">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数据工程师</w:t>
            </w:r>
          </w:p>
        </w:tc>
        <w:tc>
          <w:tcPr>
            <w:tcW w:w="1802" w:type="pct"/>
            <w:tcBorders>
              <w:top w:val="nil"/>
              <w:left w:val="nil"/>
              <w:bottom w:val="nil"/>
              <w:right w:val="nil"/>
            </w:tcBorders>
            <w:shd w:val="clear" w:color="auto" w:fill="auto"/>
            <w:tcMar>
              <w:top w:w="120" w:type="dxa"/>
              <w:left w:w="120" w:type="dxa"/>
              <w:bottom w:w="120" w:type="dxa"/>
              <w:right w:w="120" w:type="dxa"/>
            </w:tcMar>
            <w:vAlign w:val="center"/>
          </w:tcPr>
          <w:p w14:paraId="18C028A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负责多源数据采集、治理、存储与分析，构建数据质量管控体系</w:t>
            </w:r>
          </w:p>
        </w:tc>
        <w:tc>
          <w:tcPr>
            <w:tcW w:w="1515" w:type="pct"/>
            <w:tcBorders>
              <w:top w:val="nil"/>
              <w:left w:val="nil"/>
              <w:bottom w:val="nil"/>
              <w:right w:val="nil"/>
            </w:tcBorders>
            <w:shd w:val="clear" w:color="auto" w:fill="auto"/>
            <w:tcMar>
              <w:top w:w="120" w:type="dxa"/>
              <w:left w:w="120" w:type="dxa"/>
              <w:bottom w:w="120" w:type="dxa"/>
              <w:right w:w="120" w:type="dxa"/>
            </w:tcMar>
            <w:vAlign w:val="center"/>
          </w:tcPr>
          <w:p w14:paraId="1EE4144A">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《数据治理方案》《排放因子数据库》《数据处理流水线代码》《数据质量校验报告》</w:t>
            </w:r>
          </w:p>
        </w:tc>
      </w:tr>
      <w:tr w14:paraId="41792F55">
        <w:tblPrEx>
          <w:shd w:val="clear" w:color="auto" w:fill="auto"/>
          <w:tblCellMar>
            <w:top w:w="15" w:type="dxa"/>
            <w:left w:w="15" w:type="dxa"/>
            <w:bottom w:w="15" w:type="dxa"/>
            <w:right w:w="15" w:type="dxa"/>
          </w:tblCellMar>
        </w:tblPrEx>
        <w:trPr>
          <w:jc w:val="center"/>
        </w:trPr>
        <w:tc>
          <w:tcPr>
            <w:tcW w:w="722" w:type="pct"/>
            <w:tcBorders>
              <w:top w:val="nil"/>
              <w:left w:val="nil"/>
              <w:bottom w:val="nil"/>
              <w:right w:val="nil"/>
            </w:tcBorders>
            <w:shd w:val="clear" w:color="auto" w:fill="auto"/>
            <w:tcMar>
              <w:top w:w="120" w:type="dxa"/>
              <w:left w:w="120" w:type="dxa"/>
              <w:bottom w:w="120" w:type="dxa"/>
              <w:right w:w="120" w:type="dxa"/>
            </w:tcMar>
            <w:vAlign w:val="center"/>
          </w:tcPr>
          <w:p w14:paraId="0E27A7D8">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张天翼</w:t>
            </w:r>
          </w:p>
        </w:tc>
        <w:tc>
          <w:tcPr>
            <w:tcW w:w="958" w:type="pct"/>
            <w:tcBorders>
              <w:top w:val="nil"/>
              <w:left w:val="nil"/>
              <w:bottom w:val="nil"/>
              <w:right w:val="nil"/>
            </w:tcBorders>
            <w:shd w:val="clear" w:color="auto" w:fill="auto"/>
            <w:tcMar>
              <w:top w:w="120" w:type="dxa"/>
              <w:left w:w="120" w:type="dxa"/>
              <w:bottom w:w="120" w:type="dxa"/>
              <w:right w:w="120" w:type="dxa"/>
            </w:tcMar>
            <w:vAlign w:val="center"/>
          </w:tcPr>
          <w:p w14:paraId="225EB23B">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商务拓展（BD）负责人</w:t>
            </w:r>
          </w:p>
        </w:tc>
        <w:tc>
          <w:tcPr>
            <w:tcW w:w="1802" w:type="pct"/>
            <w:tcBorders>
              <w:top w:val="nil"/>
              <w:left w:val="nil"/>
              <w:bottom w:val="nil"/>
              <w:right w:val="nil"/>
            </w:tcBorders>
            <w:shd w:val="clear" w:color="auto" w:fill="auto"/>
            <w:tcMar>
              <w:top w:w="120" w:type="dxa"/>
              <w:left w:w="120" w:type="dxa"/>
              <w:bottom w:w="120" w:type="dxa"/>
              <w:right w:w="120" w:type="dxa"/>
            </w:tcMar>
            <w:vAlign w:val="center"/>
          </w:tcPr>
          <w:p w14:paraId="25E85415">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负责市场推广、合作资源对接、用户增长与生态构建，对接电商平台、金融机构等</w:t>
            </w:r>
          </w:p>
        </w:tc>
        <w:tc>
          <w:tcPr>
            <w:tcW w:w="1515" w:type="pct"/>
            <w:tcBorders>
              <w:top w:val="nil"/>
              <w:left w:val="nil"/>
              <w:bottom w:val="nil"/>
              <w:right w:val="nil"/>
            </w:tcBorders>
            <w:shd w:val="clear" w:color="auto" w:fill="auto"/>
            <w:tcMar>
              <w:top w:w="120" w:type="dxa"/>
              <w:left w:w="120" w:type="dxa"/>
              <w:bottom w:w="120" w:type="dxa"/>
              <w:right w:w="120" w:type="dxa"/>
            </w:tcMar>
            <w:vAlign w:val="center"/>
          </w:tcPr>
          <w:p w14:paraId="5CEE6A8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《合作框架协议》《市场推广方案》《用户增长数据报告》《标杆客户案例集》</w:t>
            </w:r>
          </w:p>
        </w:tc>
      </w:tr>
      <w:tr w14:paraId="5D496B87">
        <w:tblPrEx>
          <w:shd w:val="clear" w:color="auto" w:fill="auto"/>
          <w:tblCellMar>
            <w:top w:w="15" w:type="dxa"/>
            <w:left w:w="15" w:type="dxa"/>
            <w:bottom w:w="15" w:type="dxa"/>
            <w:right w:w="15" w:type="dxa"/>
          </w:tblCellMar>
        </w:tblPrEx>
        <w:trPr>
          <w:jc w:val="center"/>
        </w:trPr>
        <w:tc>
          <w:tcPr>
            <w:tcW w:w="722" w:type="pct"/>
            <w:tcBorders>
              <w:top w:val="nil"/>
              <w:left w:val="nil"/>
              <w:bottom w:val="single" w:color="000000" w:sz="12" w:space="0"/>
              <w:right w:val="nil"/>
            </w:tcBorders>
            <w:shd w:val="clear" w:color="auto" w:fill="auto"/>
            <w:tcMar>
              <w:top w:w="120" w:type="dxa"/>
              <w:left w:w="120" w:type="dxa"/>
              <w:bottom w:w="120" w:type="dxa"/>
              <w:right w:w="120" w:type="dxa"/>
            </w:tcMar>
            <w:vAlign w:val="center"/>
          </w:tcPr>
          <w:p w14:paraId="6119A080">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刘馨</w:t>
            </w:r>
          </w:p>
        </w:tc>
        <w:tc>
          <w:tcPr>
            <w:tcW w:w="958" w:type="pct"/>
            <w:tcBorders>
              <w:top w:val="nil"/>
              <w:left w:val="nil"/>
              <w:bottom w:val="single" w:color="000000" w:sz="12" w:space="0"/>
              <w:right w:val="nil"/>
            </w:tcBorders>
            <w:shd w:val="clear" w:color="auto" w:fill="auto"/>
            <w:tcMar>
              <w:top w:w="120" w:type="dxa"/>
              <w:left w:w="120" w:type="dxa"/>
              <w:bottom w:w="120" w:type="dxa"/>
              <w:right w:w="120" w:type="dxa"/>
            </w:tcMar>
            <w:vAlign w:val="center"/>
          </w:tcPr>
          <w:p w14:paraId="2F2F396D">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财务与法务合规负责人</w:t>
            </w:r>
          </w:p>
        </w:tc>
        <w:tc>
          <w:tcPr>
            <w:tcW w:w="1802" w:type="pct"/>
            <w:tcBorders>
              <w:top w:val="nil"/>
              <w:left w:val="nil"/>
              <w:bottom w:val="single" w:color="000000" w:sz="12" w:space="0"/>
              <w:right w:val="nil"/>
            </w:tcBorders>
            <w:shd w:val="clear" w:color="auto" w:fill="auto"/>
            <w:tcMar>
              <w:top w:w="120" w:type="dxa"/>
              <w:left w:w="120" w:type="dxa"/>
              <w:bottom w:w="120" w:type="dxa"/>
              <w:right w:w="120" w:type="dxa"/>
            </w:tcMar>
            <w:vAlign w:val="center"/>
          </w:tcPr>
          <w:p w14:paraId="41BAC5CB">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负责项目预算管理、成本控制、财务报表编制，以及合规性审查、风险防控</w:t>
            </w:r>
          </w:p>
        </w:tc>
        <w:tc>
          <w:tcPr>
            <w:tcW w:w="1515" w:type="pct"/>
            <w:tcBorders>
              <w:top w:val="nil"/>
              <w:left w:val="nil"/>
              <w:bottom w:val="single" w:color="000000" w:sz="12" w:space="0"/>
              <w:right w:val="nil"/>
            </w:tcBorders>
            <w:shd w:val="clear" w:color="auto" w:fill="auto"/>
            <w:tcMar>
              <w:top w:w="120" w:type="dxa"/>
              <w:left w:w="120" w:type="dxa"/>
              <w:bottom w:w="120" w:type="dxa"/>
              <w:right w:w="120" w:type="dxa"/>
            </w:tcMar>
            <w:vAlign w:val="center"/>
          </w:tcPr>
          <w:p w14:paraId="3542C341">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《项目财务预算表》《季度财务报表》《合规性审查报告》《风险防控手册》</w:t>
            </w:r>
          </w:p>
        </w:tc>
      </w:tr>
    </w:tbl>
    <w:p w14:paraId="3E35D17B">
      <w:pPr>
        <w:pStyle w:val="4"/>
        <w:keepNext/>
        <w:keepLines/>
        <w:pageBreakBefore w:val="0"/>
        <w:widowControl w:val="0"/>
        <w:kinsoku/>
        <w:wordWrap/>
        <w:overflowPunct/>
        <w:topLinePunct w:val="0"/>
        <w:autoSpaceDE/>
        <w:autoSpaceDN/>
        <w:bidi w:val="0"/>
        <w:adjustRightInd/>
        <w:snapToGrid/>
        <w:textAlignment w:val="auto"/>
        <w:rPr>
          <w:rFonts w:hint="default" w:ascii="黑体" w:hAnsi="黑体" w:eastAsia="黑体" w:cs="黑体"/>
          <w:lang w:val="en-US" w:eastAsia="zh-CN"/>
        </w:rPr>
      </w:pPr>
      <w:bookmarkStart w:id="22" w:name="_Toc19572"/>
      <w:r>
        <w:rPr>
          <w:rFonts w:hint="default" w:ascii="黑体" w:hAnsi="黑体" w:eastAsia="黑体" w:cs="黑体"/>
          <w:lang w:val="en-US" w:eastAsia="zh-CN"/>
        </w:rPr>
        <w:t>1.8.2 导师支撑</w:t>
      </w:r>
      <w:bookmarkEnd w:id="22"/>
    </w:p>
    <w:p w14:paraId="5EB20F3D">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项目由宋广华副教授担任指导老师，宋教授长期从事深度学习、人工智能相关理论与应用研究，主持并参与多个国家自然科学基金和省级科研项目，发表多篇学术论文，具备扎实的科研积累和丰富的大学生创新创业项目指导经验，将在课题论证、技术路线把关、项目管理与成果凝练等方面提供持续支持。</w:t>
      </w:r>
    </w:p>
    <w:p w14:paraId="0EA1C1EC">
      <w:pPr>
        <w:pStyle w:val="4"/>
        <w:keepNext/>
        <w:keepLines/>
        <w:pageBreakBefore w:val="0"/>
        <w:widowControl w:val="0"/>
        <w:kinsoku/>
        <w:wordWrap/>
        <w:overflowPunct/>
        <w:topLinePunct w:val="0"/>
        <w:autoSpaceDE/>
        <w:autoSpaceDN/>
        <w:bidi w:val="0"/>
        <w:adjustRightInd/>
        <w:snapToGrid/>
        <w:textAlignment w:val="auto"/>
        <w:rPr>
          <w:rFonts w:hint="default" w:ascii="黑体" w:hAnsi="黑体" w:eastAsia="黑体" w:cs="黑体"/>
          <w:lang w:val="en-US" w:eastAsia="zh-CN"/>
        </w:rPr>
      </w:pPr>
      <w:bookmarkStart w:id="23" w:name="_Toc28165"/>
      <w:r>
        <w:rPr>
          <w:rFonts w:hint="default" w:ascii="黑体" w:hAnsi="黑体" w:eastAsia="黑体" w:cs="黑体"/>
          <w:lang w:val="en-US" w:eastAsia="zh-CN"/>
        </w:rPr>
        <w:t>1.8.3 团队优势</w:t>
      </w:r>
      <w:bookmarkEnd w:id="23"/>
    </w:p>
    <w:p w14:paraId="79E22E6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跨学科复合型优势体现在技术能力与业务理解能力的深度融合，既能保障平台技术先进性，又能精准匹配企业实际需求，实现技术方案与业务场景无缝对接 实践与创新能力方面团队成员兼具理论基础与实践经验，熟悉中小企业痛点与市场需求，能够快速响应市场变化，持续优化产品与服务 协作与执行能力上团队建立了清晰的分工协作机制，通过每周例会、共享网盘等方式保障信息同步，确保项目各阶段任务高效推进。</w:t>
      </w:r>
    </w:p>
    <w:p w14:paraId="2F88EBD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default" w:asciiTheme="minorEastAsia" w:hAnsiTheme="minorEastAsia" w:eastAsiaTheme="minorEastAsia" w:cstheme="minorEastAsia"/>
          <w:lang w:val="en-US" w:eastAsia="zh-CN"/>
        </w:rPr>
        <w:sectPr>
          <w:footerReference r:id="rId7" w:type="default"/>
          <w:pgSz w:w="11906" w:h="16838"/>
          <w:pgMar w:top="1417" w:right="1531" w:bottom="1417" w:left="1531" w:header="851" w:footer="992" w:gutter="0"/>
          <w:pgNumType w:fmt="decimal" w:start="1"/>
          <w:cols w:space="0" w:num="1"/>
          <w:rtlGutter w:val="0"/>
          <w:docGrid w:type="linesAndChars" w:linePitch="378" w:charSpace="5734"/>
        </w:sectPr>
      </w:pPr>
    </w:p>
    <w:p w14:paraId="79FE160E">
      <w:pPr>
        <w:pStyle w:val="2"/>
        <w:keepNext w:val="0"/>
        <w:keepLines w:val="0"/>
        <w:pageBreakBefore w:val="0"/>
        <w:widowControl w:val="0"/>
        <w:kinsoku/>
        <w:wordWrap/>
        <w:overflowPunct/>
        <w:topLinePunct w:val="0"/>
        <w:autoSpaceDE/>
        <w:autoSpaceDN/>
        <w:bidi w:val="0"/>
        <w:adjustRightInd/>
        <w:snapToGrid/>
        <w:jc w:val="center"/>
        <w:textAlignment w:val="auto"/>
        <w:rPr>
          <w:rFonts w:hint="default"/>
          <w:lang w:val="en-US" w:eastAsia="zh-CN"/>
        </w:rPr>
      </w:pPr>
      <w:bookmarkStart w:id="24" w:name="_Toc25846"/>
      <w:r>
        <w:rPr>
          <w:rFonts w:hint="eastAsia"/>
          <w:lang w:val="en-US" w:eastAsia="zh-CN"/>
        </w:rPr>
        <w:t xml:space="preserve">第二章 </w:t>
      </w:r>
      <w:r>
        <w:rPr>
          <w:rFonts w:hint="default"/>
          <w:lang w:val="en-US" w:eastAsia="zh-CN"/>
        </w:rPr>
        <w:t>市场分析</w:t>
      </w:r>
      <w:bookmarkEnd w:id="24"/>
    </w:p>
    <w:p w14:paraId="1ADA9D53">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default" w:ascii="黑体" w:hAnsi="黑体" w:eastAsia="黑体" w:cs="黑体"/>
          <w:b w:val="0"/>
          <w:bCs w:val="0"/>
          <w:sz w:val="28"/>
          <w:szCs w:val="240"/>
          <w:lang w:val="en-US" w:eastAsia="zh-CN"/>
        </w:rPr>
      </w:pPr>
      <w:bookmarkStart w:id="25" w:name="_Toc12006"/>
      <w:r>
        <w:rPr>
          <w:rFonts w:hint="default" w:ascii="黑体" w:hAnsi="黑体" w:eastAsia="黑体" w:cs="黑体"/>
          <w:b w:val="0"/>
          <w:bCs w:val="0"/>
          <w:sz w:val="28"/>
          <w:szCs w:val="240"/>
          <w:lang w:val="en-US" w:eastAsia="zh-CN"/>
        </w:rPr>
        <w:t>2.1产业现状</w:t>
      </w:r>
      <w:bookmarkEnd w:id="25"/>
    </w:p>
    <w:p w14:paraId="6404A8FF">
      <w:pPr>
        <w:pStyle w:val="4"/>
        <w:keepNext/>
        <w:keepLines/>
        <w:pageBreakBefore w:val="0"/>
        <w:widowControl w:val="0"/>
        <w:kinsoku/>
        <w:wordWrap/>
        <w:overflowPunct/>
        <w:topLinePunct w:val="0"/>
        <w:autoSpaceDE/>
        <w:autoSpaceDN/>
        <w:bidi w:val="0"/>
        <w:adjustRightInd/>
        <w:snapToGrid/>
        <w:textAlignment w:val="auto"/>
        <w:rPr>
          <w:rFonts w:hint="default" w:ascii="黑体" w:hAnsi="黑体" w:eastAsia="黑体" w:cs="黑体"/>
          <w:lang w:val="en-US" w:eastAsia="zh-CN"/>
        </w:rPr>
      </w:pPr>
      <w:bookmarkStart w:id="26" w:name="_Toc16318"/>
      <w:r>
        <w:rPr>
          <w:rFonts w:hint="default" w:ascii="黑体" w:hAnsi="黑体" w:eastAsia="黑体" w:cs="黑体"/>
          <w:lang w:val="en-US" w:eastAsia="zh-CN"/>
        </w:rPr>
        <w:t>2.1.1信息集中平台发展环境</w:t>
      </w:r>
      <w:bookmarkEnd w:id="26"/>
    </w:p>
    <w:p w14:paraId="00D79065">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default" w:asciiTheme="minorEastAsia" w:hAnsiTheme="minorEastAsia" w:eastAsiaTheme="minorEastAsia" w:cstheme="minorEastAsia"/>
          <w:b/>
          <w:bCs/>
          <w:lang w:val="en-US" w:eastAsia="zh-CN"/>
        </w:rPr>
      </w:pPr>
      <w:r>
        <w:rPr>
          <w:rFonts w:hint="default" w:asciiTheme="minorEastAsia" w:hAnsiTheme="minorEastAsia" w:eastAsiaTheme="minorEastAsia" w:cstheme="minorEastAsia"/>
          <w:b/>
          <w:bCs/>
          <w:lang w:val="en-US" w:eastAsia="zh-CN"/>
        </w:rPr>
        <w:t>政策驱动：ESG披露从引导转强制，电商行业纳入重点监管</w:t>
      </w:r>
    </w:p>
    <w:p w14:paraId="438430B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国家“双碳”战略全面纵深推进，中小企业ESG信息披露监管口径逐步由自愿引导转向分行业强制。2024年中国中小企业协会发布团体标准《2024中小企业ESG信息披露指南》，同步出台《中小企业环境信息披露简化指南》，针对电商、物流等轻资产服务业制定简化披露模板，披露重点通常聚焦包装、物流履约等环节。地方层面，上海市、浙江省等电商产业集聚区印发《中小企业环境信息披露实施方案 (试行)》，将ESG披露结果与电商企业园区入驻、大促报名、政府补贴申领直接挂钩；淘宝、京东、拼多多等头部电商平台同步配套“绿色商家”认证、减碳订单标识、绿色流量倾斜等激励机制，形成国家政策+地方细则+平台规则三层驱动格局，倒逼中小电商完成ESG数据合规管理。</w:t>
      </w:r>
    </w:p>
    <w:p w14:paraId="4BBAAEF7">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64384" behindDoc="0" locked="0" layoutInCell="1" allowOverlap="1">
            <wp:simplePos x="0" y="0"/>
            <wp:positionH relativeFrom="column">
              <wp:posOffset>1007745</wp:posOffset>
            </wp:positionH>
            <wp:positionV relativeFrom="paragraph">
              <wp:posOffset>58420</wp:posOffset>
            </wp:positionV>
            <wp:extent cx="3599815" cy="4197985"/>
            <wp:effectExtent l="9525" t="9525" r="10160" b="21590"/>
            <wp:wrapTopAndBottom/>
            <wp:docPr id="34" name="图片 34" descr="600f8bc894ccb4d25b2c95bb4365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600f8bc894ccb4d25b2c95bb436544fa"/>
                    <pic:cNvPicPr>
                      <a:picLocks noChangeAspect="1"/>
                    </pic:cNvPicPr>
                  </pic:nvPicPr>
                  <pic:blipFill>
                    <a:blip r:embed="rId14"/>
                    <a:stretch>
                      <a:fillRect/>
                    </a:stretch>
                  </pic:blipFill>
                  <pic:spPr>
                    <a:xfrm>
                      <a:off x="0" y="0"/>
                      <a:ext cx="3599815" cy="419798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5</w:t>
      </w:r>
      <w:r>
        <w:rPr>
          <w:rFonts w:hint="eastAsia" w:asciiTheme="majorEastAsia" w:hAnsiTheme="majorEastAsia" w:eastAsiaTheme="majorEastAsia" w:cstheme="majorEastAsia"/>
          <w:b/>
          <w:bCs/>
        </w:rPr>
        <w:fldChar w:fldCharType="end"/>
      </w:r>
      <w:bookmarkStart w:id="27" w:name="_Toc26671"/>
      <w:r>
        <w:rPr>
          <w:rFonts w:hint="eastAsia" w:asciiTheme="majorEastAsia" w:hAnsiTheme="majorEastAsia" w:eastAsiaTheme="majorEastAsia" w:cstheme="majorEastAsia"/>
          <w:b/>
          <w:bCs/>
          <w:lang w:eastAsia="zh-CN"/>
        </w:rPr>
        <w:t xml:space="preserve"> 《中小企业 ESG 信息披露指南》团体标准公告截图</w:t>
      </w:r>
      <w:bookmarkEnd w:id="27"/>
    </w:p>
    <w:p w14:paraId="0928B6D3">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市场需求：绿色消费与产业链考核双向抬升刚需</w:t>
      </w:r>
    </w:p>
    <w:p w14:paraId="72D8CF9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消费端，依据《中国电子商务报告2024》及电商平台公开运营数据，2024</w:t>
      </w:r>
      <w:r>
        <w:rPr>
          <w:rFonts w:hint="eastAsia" w:ascii="宋体" w:hAnsi="宋体" w:eastAsia="宋体" w:cs="宋体"/>
          <w:sz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2170430</wp:posOffset>
            </wp:positionV>
            <wp:extent cx="5615940" cy="3157220"/>
            <wp:effectExtent l="9525" t="9525" r="13335" b="20955"/>
            <wp:wrapTopAndBottom/>
            <wp:docPr id="33" name="图片 33" descr="a5fae5ff3cf2c502b6a8eed29b97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5fae5ff3cf2c502b6a8eed29b974046"/>
                    <pic:cNvPicPr>
                      <a:picLocks noChangeAspect="1"/>
                    </pic:cNvPicPr>
                  </pic:nvPicPr>
                  <pic:blipFill>
                    <a:blip r:embed="rId15"/>
                    <a:stretch>
                      <a:fillRect/>
                    </a:stretch>
                  </pic:blipFill>
                  <pic:spPr>
                    <a:xfrm>
                      <a:off x="0" y="0"/>
                      <a:ext cx="5615940" cy="3157220"/>
                    </a:xfrm>
                    <a:prstGeom prst="rect">
                      <a:avLst/>
                    </a:prstGeom>
                    <a:ln>
                      <a:solidFill>
                        <a:schemeClr val="tx1"/>
                      </a:solidFill>
                    </a:ln>
                  </pic:spPr>
                </pic:pic>
              </a:graphicData>
            </a:graphic>
          </wp:anchor>
        </w:drawing>
      </w:r>
      <w:r>
        <w:rPr>
          <w:rFonts w:hint="eastAsia" w:asciiTheme="minorEastAsia" w:hAnsiTheme="minorEastAsia" w:eastAsiaTheme="minorEastAsia" w:cstheme="minorEastAsia"/>
          <w:lang w:val="en-US" w:eastAsia="zh-CN"/>
        </w:rPr>
        <w:t>年全国电商平台绿色商品销量同比增长58%，绿色消费成为电商行业确定性增长赛道；年轻消费群体（18-35岁）贡献超75%的绿色商品交易额，成为绿色消费核心主力，带有绿色标识的商品转化率较普通商品平均提升12%-18%。产业链与资本端，头部电商平台、品牌方将ESG数据纳入供应商准入与考核体系，未完成碳核算与ESG披露的中小电商商家订单流失率显著上升；中国人民银行数据显示，截至2025年三季度末，我国本外币绿色贷款余额达43.51万亿元，前三季度新增绿色贷款占全部贷款增量的43.9%，金融机构将ESG合规数据作为中小电商授信、绿色信贷审批的核心依据，ESG数据缺失直接导致电商企业融资门槛提高、授信额度下调。</w:t>
      </w:r>
    </w:p>
    <w:p w14:paraId="0365A448">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6</w:t>
      </w:r>
      <w:r>
        <w:rPr>
          <w:rFonts w:hint="eastAsia" w:asciiTheme="majorEastAsia" w:hAnsiTheme="majorEastAsia" w:eastAsiaTheme="majorEastAsia" w:cstheme="majorEastAsia"/>
          <w:b/>
          <w:bCs/>
        </w:rPr>
        <w:fldChar w:fldCharType="end"/>
      </w:r>
      <w:bookmarkStart w:id="28" w:name="_Toc5865"/>
      <w:r>
        <w:rPr>
          <w:rFonts w:hint="eastAsia" w:asciiTheme="majorEastAsia" w:hAnsiTheme="majorEastAsia" w:eastAsiaTheme="majorEastAsia" w:cstheme="majorEastAsia"/>
          <w:b/>
          <w:bCs/>
          <w:lang w:eastAsia="zh-CN"/>
        </w:rPr>
        <w:t xml:space="preserve"> 2024-2025 年电商行业绿色发展核心数据看板</w:t>
      </w:r>
      <w:bookmarkEnd w:id="28"/>
    </w:p>
    <w:p w14:paraId="5BC97A82">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技术支撑：数字技术成熟落地，适配电商轻量化需求</w:t>
      </w:r>
    </w:p>
    <w:p w14:paraId="6C7DBAC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I识别、大数据治理、OCR图文识别技术已实现规模化商用，OCR对电商物流面单、电费票据、包装采购凭证的识别准确率均稳定在较高水平，可完成非结构化数据到标准化核算数据的自动转换；云计算SaaS架构成熟，无需本地部署、按需订阅的模式完全匹配电商中小企业轻资产、低成本运营特点，为电商企业实现订单级碳核算、ESG数据自动化归集、合规报告一键生成提供了成熟技术路径，解决了传统ESG管理人工投入大、专业门槛高的痛点。</w:t>
      </w:r>
    </w:p>
    <w:p w14:paraId="5C2C9038">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29" w:name="_Toc4200"/>
      <w:r>
        <w:rPr>
          <w:rFonts w:hint="eastAsia" w:ascii="黑体" w:hAnsi="黑体" w:eastAsia="黑体" w:cs="黑体"/>
          <w:lang w:val="en-US" w:eastAsia="zh-CN"/>
        </w:rPr>
        <w:t>2.1.2信息集中平台产业发展现状及趋势预测</w:t>
      </w:r>
      <w:bookmarkEnd w:id="29"/>
    </w:p>
    <w:p w14:paraId="110F8285">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发展现状：市场供给两极分化，电商场景存在显著服务空白</w:t>
      </w:r>
    </w:p>
    <w:p w14:paraId="37B215E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国内碳管理与ESG服务市场呈现头部服务高价化、中小服务空白化的两极分化格局：一是传统ESG咨询机构，以四大会计师事务所ESG咨询部为代表，服务定价5-20万元/年，以人工尽调、定制化编制报告为主，服务周期2-4周，仅适配大型上市电商企业，中小电商无法承担高额成本；二是大型集团定制碳管理系统，部署成本10-50万元，需配备专职运维人员，系统功能聚焦工业碳排放核算，与电商订单履约、物流配送、包装耗材等核心场景适配性极差；三是通用型SaaS工具，未针对电商行业做场景化改造，数据采集节点、核算口径与电商业务脱节，80%以上中小电商仍面临数据采集散、核算口径乱、报告编制难、融资对接无门的核心痛点，电商专属ESG信息集中平台存在明确市场缺口。</w:t>
      </w:r>
    </w:p>
    <w:p w14:paraId="042D5D3B">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发展趋势：未来3-5年电商轻量化ESG工具成主流</w:t>
      </w:r>
    </w:p>
    <w:p w14:paraId="5E2A68A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结合政策推进节奏与市场需求演变，电商ESG信息集中平台将呈现三大确定性趋势：一是场景化深度绑定，工具全面嵌入电商订单、仓储、物流、售后全业务链路，实现碳数据随业务流程自动沉淀；二是全流程自动化，从数据采集、核算、评分到报告生成实现显著减少人工，满足电商高频次、快节奏的合规需求；三是金融化闭环落地，ESG数据直接对接绿色信贷、绿色保险、供应链金融产品，实现“合规数据→信用资产→融资资金” 的转化，轻量化SaaS工具将成为中小电商ESG管理的主流方向。</w:t>
      </w:r>
    </w:p>
    <w:p w14:paraId="772C495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30" w:name="_Toc26437"/>
      <w:r>
        <w:rPr>
          <w:rFonts w:hint="eastAsia" w:ascii="黑体" w:hAnsi="黑体" w:eastAsia="黑体" w:cs="黑体"/>
          <w:b w:val="0"/>
          <w:bCs w:val="0"/>
          <w:sz w:val="28"/>
          <w:szCs w:val="240"/>
          <w:lang w:val="en-US" w:eastAsia="zh-CN"/>
        </w:rPr>
        <w:t>2.2替代品与潜在竞争者</w:t>
      </w:r>
      <w:bookmarkEnd w:id="30"/>
    </w:p>
    <w:p w14:paraId="6B2AC84C">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2</w:t>
      </w:r>
      <w:r>
        <w:rPr>
          <w:rFonts w:hint="eastAsia" w:asciiTheme="majorEastAsia" w:hAnsiTheme="majorEastAsia" w:eastAsiaTheme="majorEastAsia" w:cstheme="majorEastAsia"/>
          <w:b/>
          <w:bCs/>
        </w:rPr>
        <w:fldChar w:fldCharType="end"/>
      </w:r>
      <w:bookmarkStart w:id="31" w:name="_Toc31809"/>
      <w:r>
        <w:rPr>
          <w:rFonts w:hint="eastAsia" w:asciiTheme="majorEastAsia" w:hAnsiTheme="majorEastAsia" w:eastAsiaTheme="majorEastAsia" w:cstheme="majorEastAsia"/>
          <w:b/>
          <w:bCs/>
          <w:lang w:eastAsia="zh-CN"/>
        </w:rPr>
        <w:t xml:space="preserve"> 碳管理与 ESG 服务市场三类竞品核心维度对比表</w:t>
      </w:r>
      <w:bookmarkEnd w:id="31"/>
    </w:p>
    <w:tbl>
      <w:tblPr>
        <w:tblStyle w:val="13"/>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2637"/>
        <w:gridCol w:w="2522"/>
        <w:gridCol w:w="2445"/>
      </w:tblGrid>
      <w:tr w14:paraId="43D4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single" w:color="000000" w:sz="12" w:space="0"/>
              <w:left w:val="nil"/>
              <w:bottom w:val="single" w:color="000000" w:sz="4" w:space="0"/>
              <w:right w:val="nil"/>
              <w:tl2br w:val="nil"/>
            </w:tcBorders>
            <w:shd w:val="clear" w:color="auto" w:fill="auto"/>
            <w:vAlign w:val="center"/>
          </w:tcPr>
          <w:p w14:paraId="10B1DB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themeColor="dark1"/>
                <w:kern w:val="24"/>
                <w:sz w:val="24"/>
                <w:szCs w:val="24"/>
                <w:lang w:val="en-US" w:eastAsia="zh-CN" w:bidi="ar-SA"/>
                <w14:textFill>
                  <w14:solidFill>
                    <w14:schemeClr w14:val="dk1"/>
                  </w14:solidFill>
                </w14:textFill>
              </w:rPr>
            </w:pPr>
            <w:r>
              <w:rPr>
                <w:rFonts w:hint="eastAsia" w:asciiTheme="minorEastAsia" w:hAnsiTheme="minorEastAsia" w:eastAsiaTheme="minorEastAsia" w:cstheme="minorEastAsia"/>
                <w:b w:val="0"/>
                <w:bCs/>
                <w:color w:val="000000" w:themeColor="dark1"/>
                <w:sz w:val="24"/>
                <w:szCs w:val="24"/>
                <w14:textFill>
                  <w14:solidFill>
                    <w14:schemeClr w14:val="dk1"/>
                  </w14:solidFill>
                </w14:textFill>
              </w:rPr>
              <w:t>对比维度</w:t>
            </w:r>
          </w:p>
        </w:tc>
        <w:tc>
          <w:tcPr>
            <w:tcW w:w="2637" w:type="dxa"/>
            <w:tcBorders>
              <w:top w:val="single" w:color="000000" w:sz="12" w:space="0"/>
              <w:left w:val="nil"/>
              <w:bottom w:val="single" w:color="000000" w:sz="4" w:space="0"/>
              <w:right w:val="nil"/>
            </w:tcBorders>
            <w:shd w:val="clear" w:color="auto" w:fill="auto"/>
            <w:vAlign w:val="center"/>
          </w:tcPr>
          <w:p w14:paraId="259A77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themeColor="dark1"/>
                <w:kern w:val="24"/>
                <w:sz w:val="24"/>
                <w:szCs w:val="24"/>
                <w:lang w:val="en-US" w:eastAsia="zh-CN" w:bidi="ar-SA"/>
                <w14:textFill>
                  <w14:solidFill>
                    <w14:schemeClr w14:val="dk1"/>
                  </w14:solidFill>
                </w14:textFill>
              </w:rPr>
            </w:pPr>
            <w:r>
              <w:rPr>
                <w:rFonts w:hint="eastAsia" w:asciiTheme="minorEastAsia" w:hAnsiTheme="minorEastAsia" w:eastAsiaTheme="minorEastAsia" w:cstheme="minorEastAsia"/>
                <w:b w:val="0"/>
                <w:bCs/>
                <w:color w:val="000000" w:themeColor="dark1"/>
                <w:sz w:val="24"/>
                <w:szCs w:val="24"/>
                <w14:textFill>
                  <w14:solidFill>
                    <w14:schemeClr w14:val="dk1"/>
                  </w14:solidFill>
                </w14:textFill>
              </w:rPr>
              <w:t>传统咨询公司服务</w:t>
            </w:r>
          </w:p>
        </w:tc>
        <w:tc>
          <w:tcPr>
            <w:tcW w:w="2522" w:type="dxa"/>
            <w:tcBorders>
              <w:top w:val="single" w:color="000000" w:sz="12" w:space="0"/>
              <w:left w:val="nil"/>
              <w:bottom w:val="single" w:color="000000" w:sz="4" w:space="0"/>
              <w:right w:val="nil"/>
            </w:tcBorders>
            <w:shd w:val="clear" w:color="auto" w:fill="auto"/>
            <w:vAlign w:val="center"/>
          </w:tcPr>
          <w:p w14:paraId="5F6612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themeColor="dark1"/>
                <w:kern w:val="24"/>
                <w:sz w:val="24"/>
                <w:szCs w:val="24"/>
                <w:lang w:val="en-US" w:eastAsia="zh-CN" w:bidi="ar-SA"/>
                <w14:textFill>
                  <w14:solidFill>
                    <w14:schemeClr w14:val="dk1"/>
                  </w14:solidFill>
                </w14:textFill>
              </w:rPr>
            </w:pPr>
            <w:r>
              <w:rPr>
                <w:rFonts w:hint="eastAsia" w:asciiTheme="minorEastAsia" w:hAnsiTheme="minorEastAsia" w:eastAsiaTheme="minorEastAsia" w:cstheme="minorEastAsia"/>
                <w:b w:val="0"/>
                <w:bCs/>
                <w:color w:val="000000" w:themeColor="dark1"/>
                <w:sz w:val="24"/>
                <w:szCs w:val="24"/>
                <w14:textFill>
                  <w14:solidFill>
                    <w14:schemeClr w14:val="dk1"/>
                  </w14:solidFill>
                </w14:textFill>
              </w:rPr>
              <w:t>大型企业专用系统（如某能源科技系统）</w:t>
            </w:r>
          </w:p>
        </w:tc>
        <w:tc>
          <w:tcPr>
            <w:tcW w:w="2445" w:type="dxa"/>
            <w:tcBorders>
              <w:top w:val="single" w:color="000000" w:sz="12" w:space="0"/>
              <w:left w:val="nil"/>
              <w:bottom w:val="single" w:color="000000" w:sz="4" w:space="0"/>
              <w:right w:val="nil"/>
            </w:tcBorders>
            <w:shd w:val="clear" w:color="auto" w:fill="auto"/>
            <w:vAlign w:val="center"/>
          </w:tcPr>
          <w:p w14:paraId="1B4E51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themeColor="dark1"/>
                <w:kern w:val="24"/>
                <w:sz w:val="24"/>
                <w:szCs w:val="24"/>
                <w:lang w:val="en-US" w:eastAsia="zh-CN" w:bidi="ar-SA"/>
                <w14:textFill>
                  <w14:solidFill>
                    <w14:schemeClr w14:val="dk1"/>
                  </w14:solidFill>
                </w14:textFill>
              </w:rPr>
            </w:pPr>
            <w:r>
              <w:rPr>
                <w:rFonts w:hint="eastAsia" w:asciiTheme="minorEastAsia" w:hAnsiTheme="minorEastAsia" w:eastAsiaTheme="minorEastAsia" w:cstheme="minorEastAsia"/>
                <w:b w:val="0"/>
                <w:bCs/>
                <w:color w:val="000000" w:themeColor="dark1"/>
                <w:sz w:val="24"/>
                <w:szCs w:val="24"/>
                <w14:textFill>
                  <w14:solidFill>
                    <w14:schemeClr w14:val="dk1"/>
                  </w14:solidFill>
                </w14:textFill>
              </w:rPr>
              <w:t>本平台（中小企业轻量化平台）</w:t>
            </w:r>
          </w:p>
        </w:tc>
      </w:tr>
      <w:tr w14:paraId="4E61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single" w:color="000000" w:sz="4" w:space="0"/>
              <w:left w:val="nil"/>
              <w:bottom w:val="nil"/>
              <w:right w:val="nil"/>
            </w:tcBorders>
            <w:shd w:val="clear" w:color="auto" w:fill="auto"/>
            <w:vAlign w:val="center"/>
          </w:tcPr>
          <w:p w14:paraId="72C59D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目标用户</w:t>
            </w:r>
          </w:p>
        </w:tc>
        <w:tc>
          <w:tcPr>
            <w:tcW w:w="2637" w:type="dxa"/>
            <w:tcBorders>
              <w:top w:val="single" w:color="000000" w:sz="4" w:space="0"/>
              <w:left w:val="nil"/>
              <w:bottom w:val="nil"/>
              <w:right w:val="nil"/>
            </w:tcBorders>
            <w:shd w:val="clear" w:color="auto" w:fill="auto"/>
            <w:vAlign w:val="center"/>
          </w:tcPr>
          <w:p w14:paraId="48E598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大型企业、上市公司</w:t>
            </w:r>
          </w:p>
        </w:tc>
        <w:tc>
          <w:tcPr>
            <w:tcW w:w="2522" w:type="dxa"/>
            <w:tcBorders>
              <w:top w:val="single" w:color="000000" w:sz="4" w:space="0"/>
              <w:left w:val="nil"/>
              <w:bottom w:val="nil"/>
              <w:right w:val="nil"/>
            </w:tcBorders>
            <w:shd w:val="clear" w:color="auto" w:fill="auto"/>
            <w:vAlign w:val="center"/>
          </w:tcPr>
          <w:p w14:paraId="4521F2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大型集团、高耗能行业龙头企业</w:t>
            </w:r>
          </w:p>
        </w:tc>
        <w:tc>
          <w:tcPr>
            <w:tcW w:w="2445" w:type="dxa"/>
            <w:tcBorders>
              <w:top w:val="single" w:color="000000" w:sz="4" w:space="0"/>
              <w:left w:val="nil"/>
              <w:bottom w:val="nil"/>
              <w:right w:val="nil"/>
            </w:tcBorders>
            <w:shd w:val="clear" w:color="auto" w:fill="auto"/>
            <w:vAlign w:val="center"/>
          </w:tcPr>
          <w:p w14:paraId="3081F5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各行业中小企业</w:t>
            </w:r>
          </w:p>
        </w:tc>
      </w:tr>
      <w:tr w14:paraId="5534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nil"/>
              <w:right w:val="nil"/>
            </w:tcBorders>
            <w:shd w:val="clear" w:color="auto" w:fill="auto"/>
            <w:vAlign w:val="center"/>
          </w:tcPr>
          <w:p w14:paraId="44C53D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核心服务模式</w:t>
            </w:r>
          </w:p>
        </w:tc>
        <w:tc>
          <w:tcPr>
            <w:tcW w:w="2637" w:type="dxa"/>
            <w:tcBorders>
              <w:top w:val="nil"/>
              <w:left w:val="nil"/>
              <w:bottom w:val="nil"/>
              <w:right w:val="nil"/>
            </w:tcBorders>
            <w:shd w:val="clear" w:color="auto" w:fill="auto"/>
            <w:vAlign w:val="center"/>
          </w:tcPr>
          <w:p w14:paraId="7BEFB4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人工上门调研、手动核算、定制报告</w:t>
            </w:r>
          </w:p>
        </w:tc>
        <w:tc>
          <w:tcPr>
            <w:tcW w:w="2522" w:type="dxa"/>
            <w:tcBorders>
              <w:top w:val="nil"/>
              <w:left w:val="nil"/>
              <w:bottom w:val="nil"/>
              <w:right w:val="nil"/>
            </w:tcBorders>
            <w:shd w:val="clear" w:color="auto" w:fill="auto"/>
            <w:vAlign w:val="center"/>
          </w:tcPr>
          <w:p w14:paraId="45D5E0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本地化部署、定制开发、专人运维</w:t>
            </w:r>
          </w:p>
        </w:tc>
        <w:tc>
          <w:tcPr>
            <w:tcW w:w="2445" w:type="dxa"/>
            <w:tcBorders>
              <w:top w:val="nil"/>
              <w:left w:val="nil"/>
              <w:bottom w:val="nil"/>
              <w:right w:val="nil"/>
            </w:tcBorders>
            <w:shd w:val="clear" w:color="auto" w:fill="auto"/>
            <w:vAlign w:val="center"/>
          </w:tcPr>
          <w:p w14:paraId="00A60F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SaaS云端部署、自动化核算、自助式服务</w:t>
            </w:r>
          </w:p>
        </w:tc>
      </w:tr>
      <w:tr w14:paraId="5846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nil"/>
              <w:right w:val="nil"/>
            </w:tcBorders>
            <w:shd w:val="clear" w:color="auto" w:fill="auto"/>
            <w:vAlign w:val="center"/>
          </w:tcPr>
          <w:p w14:paraId="56D590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成本水平</w:t>
            </w:r>
          </w:p>
        </w:tc>
        <w:tc>
          <w:tcPr>
            <w:tcW w:w="2637" w:type="dxa"/>
            <w:tcBorders>
              <w:top w:val="nil"/>
              <w:left w:val="nil"/>
              <w:bottom w:val="nil"/>
              <w:right w:val="nil"/>
            </w:tcBorders>
            <w:shd w:val="clear" w:color="auto" w:fill="auto"/>
            <w:vAlign w:val="center"/>
          </w:tcPr>
          <w:p w14:paraId="6B5196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高昂，年均5-20万元</w:t>
            </w:r>
          </w:p>
        </w:tc>
        <w:tc>
          <w:tcPr>
            <w:tcW w:w="2522" w:type="dxa"/>
            <w:tcBorders>
              <w:top w:val="nil"/>
              <w:left w:val="nil"/>
              <w:bottom w:val="nil"/>
              <w:right w:val="nil"/>
            </w:tcBorders>
            <w:shd w:val="clear" w:color="auto" w:fill="auto"/>
            <w:vAlign w:val="center"/>
          </w:tcPr>
          <w:p w14:paraId="1A569E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高，初始部署费10-50万元，年运维费5-10万元</w:t>
            </w:r>
          </w:p>
        </w:tc>
        <w:tc>
          <w:tcPr>
            <w:tcW w:w="2445" w:type="dxa"/>
            <w:tcBorders>
              <w:top w:val="nil"/>
              <w:left w:val="nil"/>
              <w:bottom w:val="nil"/>
              <w:right w:val="nil"/>
            </w:tcBorders>
            <w:shd w:val="clear" w:color="auto" w:fill="auto"/>
            <w:vAlign w:val="center"/>
          </w:tcPr>
          <w:p w14:paraId="26251A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低成本，年费0.5-2万元，无部署成本</w:t>
            </w:r>
          </w:p>
        </w:tc>
      </w:tr>
      <w:tr w14:paraId="52F9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nil"/>
              <w:right w:val="nil"/>
            </w:tcBorders>
            <w:shd w:val="clear" w:color="auto" w:fill="auto"/>
            <w:vAlign w:val="center"/>
          </w:tcPr>
          <w:p w14:paraId="69EA3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数据处理效率</w:t>
            </w:r>
          </w:p>
        </w:tc>
        <w:tc>
          <w:tcPr>
            <w:tcW w:w="2637" w:type="dxa"/>
            <w:tcBorders>
              <w:top w:val="nil"/>
              <w:left w:val="nil"/>
              <w:bottom w:val="nil"/>
              <w:right w:val="nil"/>
            </w:tcBorders>
            <w:shd w:val="clear" w:color="auto" w:fill="auto"/>
            <w:vAlign w:val="center"/>
          </w:tcPr>
          <w:p w14:paraId="658A45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低，单次核算需2-4周</w:t>
            </w:r>
          </w:p>
        </w:tc>
        <w:tc>
          <w:tcPr>
            <w:tcW w:w="2522" w:type="dxa"/>
            <w:tcBorders>
              <w:top w:val="nil"/>
              <w:left w:val="nil"/>
              <w:bottom w:val="nil"/>
              <w:right w:val="nil"/>
            </w:tcBorders>
            <w:shd w:val="clear" w:color="auto" w:fill="auto"/>
            <w:vAlign w:val="center"/>
          </w:tcPr>
          <w:p w14:paraId="25C47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较高，但需专业人员操作，数据更新周期1-3天</w:t>
            </w:r>
          </w:p>
        </w:tc>
        <w:tc>
          <w:tcPr>
            <w:tcW w:w="2445" w:type="dxa"/>
            <w:tcBorders>
              <w:top w:val="nil"/>
              <w:left w:val="nil"/>
              <w:bottom w:val="nil"/>
              <w:right w:val="nil"/>
            </w:tcBorders>
            <w:shd w:val="clear" w:color="auto" w:fill="auto"/>
            <w:vAlign w:val="center"/>
          </w:tcPr>
          <w:p w14:paraId="3AA36C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高，数据上传后24小时内生成结果，支持实时更新</w:t>
            </w:r>
          </w:p>
        </w:tc>
      </w:tr>
      <w:tr w14:paraId="1B72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nil"/>
              <w:right w:val="nil"/>
            </w:tcBorders>
            <w:shd w:val="clear" w:color="auto" w:fill="auto"/>
            <w:vAlign w:val="center"/>
          </w:tcPr>
          <w:p w14:paraId="488AB6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专业门槛</w:t>
            </w:r>
          </w:p>
        </w:tc>
        <w:tc>
          <w:tcPr>
            <w:tcW w:w="2637" w:type="dxa"/>
            <w:tcBorders>
              <w:top w:val="nil"/>
              <w:left w:val="nil"/>
              <w:bottom w:val="nil"/>
              <w:right w:val="nil"/>
            </w:tcBorders>
            <w:shd w:val="clear" w:color="auto" w:fill="auto"/>
            <w:vAlign w:val="center"/>
          </w:tcPr>
          <w:p w14:paraId="2E8E23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企业无门槛，但依赖咨询公司，自主性差</w:t>
            </w:r>
          </w:p>
        </w:tc>
        <w:tc>
          <w:tcPr>
            <w:tcW w:w="2522" w:type="dxa"/>
            <w:tcBorders>
              <w:top w:val="nil"/>
              <w:left w:val="nil"/>
              <w:bottom w:val="nil"/>
              <w:right w:val="nil"/>
            </w:tcBorders>
            <w:shd w:val="clear" w:color="auto" w:fill="auto"/>
            <w:vAlign w:val="center"/>
          </w:tcPr>
          <w:p w14:paraId="031476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高，需配备2-3名专业运维人员</w:t>
            </w:r>
          </w:p>
        </w:tc>
        <w:tc>
          <w:tcPr>
            <w:tcW w:w="2445" w:type="dxa"/>
            <w:tcBorders>
              <w:top w:val="nil"/>
              <w:left w:val="nil"/>
              <w:bottom w:val="nil"/>
              <w:right w:val="nil"/>
            </w:tcBorders>
            <w:shd w:val="clear" w:color="auto" w:fill="auto"/>
            <w:vAlign w:val="center"/>
          </w:tcPr>
          <w:p w14:paraId="145F9F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低，界面简洁，内置操作指引，零基础可上手</w:t>
            </w:r>
          </w:p>
        </w:tc>
      </w:tr>
      <w:tr w14:paraId="1C36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nil"/>
              <w:right w:val="nil"/>
            </w:tcBorders>
            <w:shd w:val="clear" w:color="auto" w:fill="auto"/>
            <w:vAlign w:val="center"/>
          </w:tcPr>
          <w:p w14:paraId="66FF38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核心优势</w:t>
            </w:r>
          </w:p>
        </w:tc>
        <w:tc>
          <w:tcPr>
            <w:tcW w:w="2637" w:type="dxa"/>
            <w:tcBorders>
              <w:top w:val="nil"/>
              <w:left w:val="nil"/>
              <w:bottom w:val="nil"/>
              <w:right w:val="nil"/>
            </w:tcBorders>
            <w:shd w:val="clear" w:color="auto" w:fill="auto"/>
            <w:vAlign w:val="center"/>
          </w:tcPr>
          <w:p w14:paraId="5DE78A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定制化程度高，报告权威性强</w:t>
            </w:r>
          </w:p>
        </w:tc>
        <w:tc>
          <w:tcPr>
            <w:tcW w:w="2522" w:type="dxa"/>
            <w:tcBorders>
              <w:top w:val="nil"/>
              <w:left w:val="nil"/>
              <w:bottom w:val="nil"/>
              <w:right w:val="nil"/>
            </w:tcBorders>
            <w:shd w:val="clear" w:color="auto" w:fill="auto"/>
            <w:vAlign w:val="center"/>
          </w:tcPr>
          <w:p w14:paraId="0C6EE1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功能全面，可对接企业复杂管理体系</w:t>
            </w:r>
          </w:p>
        </w:tc>
        <w:tc>
          <w:tcPr>
            <w:tcW w:w="2445" w:type="dxa"/>
            <w:tcBorders>
              <w:top w:val="nil"/>
              <w:left w:val="nil"/>
              <w:bottom w:val="nil"/>
              <w:right w:val="nil"/>
            </w:tcBorders>
            <w:shd w:val="clear" w:color="auto" w:fill="auto"/>
            <w:vAlign w:val="center"/>
          </w:tcPr>
          <w:p w14:paraId="546735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低成本、高效率、易操作，适配中小企业需求</w:t>
            </w:r>
          </w:p>
        </w:tc>
      </w:tr>
      <w:tr w14:paraId="06F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0" w:type="dxa"/>
            <w:tcBorders>
              <w:top w:val="nil"/>
              <w:left w:val="nil"/>
              <w:bottom w:val="single" w:color="000000" w:sz="12" w:space="0"/>
              <w:right w:val="nil"/>
            </w:tcBorders>
            <w:shd w:val="clear" w:color="auto" w:fill="auto"/>
            <w:vAlign w:val="center"/>
          </w:tcPr>
          <w:p w14:paraId="070D0A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bCs/>
                <w:color w:val="000000"/>
                <w:kern w:val="24"/>
                <w:sz w:val="24"/>
                <w:szCs w:val="24"/>
                <w:lang w:val="en-US" w:eastAsia="zh-CN" w:bidi="ar-SA"/>
              </w:rPr>
            </w:pPr>
            <w:r>
              <w:rPr>
                <w:rFonts w:hint="eastAsia" w:asciiTheme="minorEastAsia" w:hAnsiTheme="minorEastAsia" w:eastAsiaTheme="minorEastAsia" w:cstheme="minorEastAsia"/>
                <w:b w:val="0"/>
                <w:bCs/>
                <w:color w:val="000000"/>
                <w:sz w:val="24"/>
                <w:szCs w:val="24"/>
              </w:rPr>
              <w:t>绿色融资对接</w:t>
            </w:r>
          </w:p>
        </w:tc>
        <w:tc>
          <w:tcPr>
            <w:tcW w:w="2637" w:type="dxa"/>
            <w:tcBorders>
              <w:top w:val="nil"/>
              <w:left w:val="nil"/>
              <w:bottom w:val="single" w:color="000000" w:sz="12" w:space="0"/>
              <w:right w:val="nil"/>
            </w:tcBorders>
            <w:shd w:val="clear" w:color="auto" w:fill="auto"/>
            <w:vAlign w:val="center"/>
          </w:tcPr>
          <w:p w14:paraId="491C70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需企业自行对接，咨询公司仅提供报告</w:t>
            </w:r>
          </w:p>
        </w:tc>
        <w:tc>
          <w:tcPr>
            <w:tcW w:w="2522" w:type="dxa"/>
            <w:tcBorders>
              <w:top w:val="nil"/>
              <w:left w:val="nil"/>
              <w:bottom w:val="single" w:color="000000" w:sz="12" w:space="0"/>
              <w:right w:val="nil"/>
            </w:tcBorders>
            <w:shd w:val="clear" w:color="auto" w:fill="auto"/>
            <w:vAlign w:val="center"/>
          </w:tcPr>
          <w:p w14:paraId="016D2C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无直接对接功能，需第三方中介</w:t>
            </w:r>
          </w:p>
        </w:tc>
        <w:tc>
          <w:tcPr>
            <w:tcW w:w="2445" w:type="dxa"/>
            <w:tcBorders>
              <w:top w:val="nil"/>
              <w:left w:val="nil"/>
              <w:bottom w:val="single" w:color="000000" w:sz="12" w:space="0"/>
              <w:right w:val="nil"/>
            </w:tcBorders>
            <w:shd w:val="clear" w:color="auto" w:fill="auto"/>
            <w:vAlign w:val="center"/>
          </w:tcPr>
          <w:p w14:paraId="4EE4E9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kern w:val="24"/>
                <w:sz w:val="24"/>
                <w:szCs w:val="24"/>
                <w:lang w:val="en-US" w:eastAsia="zh-CN" w:bidi="ar-SA"/>
              </w:rPr>
            </w:pPr>
            <w:r>
              <w:rPr>
                <w:rFonts w:hint="eastAsia" w:asciiTheme="minorEastAsia" w:hAnsiTheme="minorEastAsia" w:eastAsiaTheme="minorEastAsia" w:cstheme="minorEastAsia"/>
                <w:b w:val="0"/>
                <w:color w:val="000000"/>
                <w:sz w:val="24"/>
                <w:szCs w:val="24"/>
              </w:rPr>
              <w:t>内置融资对接模块，报告可直接用于申请绿色信贷</w:t>
            </w:r>
          </w:p>
        </w:tc>
      </w:tr>
    </w:tbl>
    <w:p w14:paraId="7CC3893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32" w:name="_Toc20686"/>
      <w:r>
        <w:rPr>
          <w:rFonts w:hint="eastAsia" w:ascii="黑体" w:hAnsi="黑体" w:eastAsia="黑体" w:cs="黑体"/>
          <w:b w:val="0"/>
          <w:bCs w:val="0"/>
          <w:sz w:val="28"/>
          <w:szCs w:val="240"/>
          <w:lang w:val="en-US" w:eastAsia="zh-CN"/>
        </w:rPr>
        <w:t>2.3 SWOT分析</w:t>
      </w:r>
      <w:bookmarkEnd w:id="32"/>
    </w:p>
    <w:p w14:paraId="7D0C4C4E">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3" w:name="_Toc12225"/>
      <w:r>
        <w:rPr>
          <w:rFonts w:hint="eastAsia" w:ascii="黑体" w:hAnsi="黑体" w:eastAsia="黑体" w:cs="黑体"/>
          <w:lang w:val="en-US" w:eastAsia="zh-CN"/>
        </w:rPr>
        <w:t>2.3.1 SO战略（优势+机会）</w:t>
      </w:r>
      <w:bookmarkEnd w:id="33"/>
    </w:p>
    <w:p w14:paraId="3D33FC7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依托政策强制披露与绿色贷款扩容机遇，推出电商绿色信贷快车道专属服务，打通ESG核算数据与银行授信审批的直连通道，抢占政策红利窗口期；结合AI识别技术与电商订单场景，打造订单级碳足迹核算+AIGC自动生成合规报告特色功能，精准匹配电商平台绿色商家认证、补贴申报需求；与头部电商平台、第三方物流企业达成生态合作，将平台工具嵌入商家服务中心、物流履约模块，低成本批量获取电商目标用户。</w:t>
      </w:r>
    </w:p>
    <w:p w14:paraId="5C7EAD4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4" w:name="_Toc20080"/>
      <w:r>
        <w:rPr>
          <w:rFonts w:hint="eastAsia" w:ascii="黑体" w:hAnsi="黑体" w:eastAsia="黑体" w:cs="黑体"/>
          <w:lang w:val="en-US" w:eastAsia="zh-CN"/>
        </w:rPr>
        <w:t>2.3.2 SW战略（优势+劣势）</w:t>
      </w:r>
      <w:bookmarkEnd w:id="34"/>
    </w:p>
    <w:p w14:paraId="7C01C64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发挥轻量化SaaS低成本优势，设置免费基础版降低中小电商试用门槛，以“免费获客+付费转化”模式破解用户初始接受度低的问题。</w:t>
      </w:r>
    </w:p>
    <w:p w14:paraId="198F061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强化OCR智能采集、数据自动校验与口径标准化功能，减少人工填报环节，弥补中小电商缺乏ESG专业人员的能力短板。</w:t>
      </w:r>
    </w:p>
    <w:p w14:paraId="3E0F6D3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打造电商行业ESG合规标杆案例，联合中国中小企业协会、电商行业协会开展权威认证，提升第三方平台品牌公信力。</w:t>
      </w:r>
    </w:p>
    <w:p w14:paraId="5F93CA2B">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5" w:name="_Toc21824"/>
      <w:r>
        <w:rPr>
          <w:rFonts w:hint="eastAsia" w:ascii="黑体" w:hAnsi="黑体" w:eastAsia="黑体" w:cs="黑体"/>
          <w:lang w:val="en-US" w:eastAsia="zh-CN"/>
        </w:rPr>
        <w:t>2.3.3 OT分析（机会+威胁）</w:t>
      </w:r>
      <w:bookmarkEnd w:id="35"/>
    </w:p>
    <w:p w14:paraId="79F0217E">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核心机会</w:t>
      </w:r>
    </w:p>
    <w:p w14:paraId="0A1CC1A1">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政策端：</w:t>
      </w:r>
      <w:r>
        <w:rPr>
          <w:rFonts w:hint="eastAsia" w:asciiTheme="minorEastAsia" w:hAnsiTheme="minorEastAsia" w:eastAsiaTheme="minorEastAsia" w:cstheme="minorEastAsia"/>
          <w:lang w:val="en-US" w:eastAsia="zh-CN"/>
        </w:rPr>
        <w:t>中小企业ESG披露逐步强制化，电商行业被列为重点覆盖领域，合规需求刚性爆发；</w:t>
      </w:r>
    </w:p>
    <w:p w14:paraId="46525534">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市场端：</w:t>
      </w:r>
      <w:r>
        <w:rPr>
          <w:rFonts w:hint="eastAsia" w:asciiTheme="minorEastAsia" w:hAnsiTheme="minorEastAsia" w:eastAsiaTheme="minorEastAsia" w:cstheme="minorEastAsia"/>
          <w:lang w:val="en-US" w:eastAsia="zh-CN"/>
        </w:rPr>
        <w:t>绿色消费持续升温，电商平台绿色准入门槛不断提高，商家改造需求迫切；</w:t>
      </w:r>
    </w:p>
    <w:p w14:paraId="052BA964">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金融端：</w:t>
      </w:r>
      <w:r>
        <w:rPr>
          <w:rFonts w:hint="eastAsia" w:asciiTheme="minorEastAsia" w:hAnsiTheme="minorEastAsia" w:eastAsiaTheme="minorEastAsia" w:cstheme="minorEastAsia"/>
          <w:lang w:val="en-US" w:eastAsia="zh-CN"/>
        </w:rPr>
        <w:t>绿色贷款规模持续高增，中小电商绿色融资需求旺盛，数据服务变现空间广阔。</w:t>
      </w:r>
    </w:p>
    <w:p w14:paraId="50068AE6">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主要威胁</w:t>
      </w:r>
    </w:p>
    <w:p w14:paraId="3C2E77D9">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竞争威胁：</w:t>
      </w:r>
      <w:r>
        <w:rPr>
          <w:rFonts w:hint="eastAsia" w:asciiTheme="minorEastAsia" w:hAnsiTheme="minorEastAsia" w:eastAsiaTheme="minorEastAsia" w:cstheme="minorEastAsia"/>
          <w:lang w:val="en-US" w:eastAsia="zh-CN"/>
        </w:rPr>
        <w:t>头部电商平台、大型科技企业依托生态与资本优势入场，挤压细分市场份额；</w:t>
      </w:r>
    </w:p>
    <w:p w14:paraId="7870994C">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付费威胁：</w:t>
      </w:r>
      <w:r>
        <w:rPr>
          <w:rFonts w:hint="eastAsia" w:asciiTheme="minorEastAsia" w:hAnsiTheme="minorEastAsia" w:eastAsiaTheme="minorEastAsia" w:cstheme="minorEastAsia"/>
          <w:lang w:val="en-US" w:eastAsia="zh-CN"/>
        </w:rPr>
        <w:t>中小电商利润空间有限，ESG增值服务付费意愿与付费能力偏低；</w:t>
      </w:r>
    </w:p>
    <w:p w14:paraId="521F8B13">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合规威胁：</w:t>
      </w:r>
      <w:r>
        <w:rPr>
          <w:rFonts w:hint="eastAsia" w:asciiTheme="minorEastAsia" w:hAnsiTheme="minorEastAsia" w:eastAsiaTheme="minorEastAsia" w:cstheme="minorEastAsia"/>
          <w:lang w:val="en-US" w:eastAsia="zh-CN"/>
        </w:rPr>
        <w:t>《数据安全法》《个人信息保护法》监管趋严，电商经营数据合规管理要求提升。</w:t>
      </w:r>
    </w:p>
    <w:p w14:paraId="7D103B44">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针对性应对策略</w:t>
      </w:r>
    </w:p>
    <w:p w14:paraId="24BB00D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聚焦电商中小商家垂直细分市场，快速完成用户积累与场景壁垒构建，提升用户迁移成本；</w:t>
      </w:r>
    </w:p>
    <w:p w14:paraId="22A2283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推出阶梯定价、套餐优惠、平台补贴联动等方案，降低商家付费决策门槛；</w:t>
      </w:r>
    </w:p>
    <w:p w14:paraId="6EE64B5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搭建全流程数据加密与合规管控体系，取得网络安全、数据安全相关认证，满足监管要求；</w:t>
      </w:r>
    </w:p>
    <w:p w14:paraId="5B014B4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联动政府部门、行业协会开展公益培训与合规帮扶，拓宽低成本获客渠道。</w:t>
      </w:r>
    </w:p>
    <w:p w14:paraId="66F22D8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sectPr>
          <w:pgSz w:w="11906" w:h="16838"/>
          <w:pgMar w:top="1417" w:right="1531" w:bottom="1417" w:left="1531" w:header="851" w:footer="992" w:gutter="0"/>
          <w:pgNumType w:fmt="decimal"/>
          <w:cols w:space="0" w:num="1"/>
          <w:rtlGutter w:val="0"/>
          <w:docGrid w:type="linesAndChars" w:linePitch="378" w:charSpace="5734"/>
        </w:sectPr>
      </w:pPr>
    </w:p>
    <w:p w14:paraId="387DFAFC">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36" w:name="_Toc6124"/>
      <w:r>
        <w:rPr>
          <w:rFonts w:hint="eastAsia"/>
          <w:lang w:val="en-US" w:eastAsia="zh-CN"/>
        </w:rPr>
        <w:t>第三章 产品服务与定位</w:t>
      </w:r>
      <w:bookmarkEnd w:id="36"/>
    </w:p>
    <w:p w14:paraId="13E69B6A">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37" w:name="_Toc2948"/>
      <w:r>
        <w:rPr>
          <w:rFonts w:hint="eastAsia" w:ascii="黑体" w:hAnsi="黑体" w:eastAsia="黑体" w:cs="黑体"/>
          <w:b w:val="0"/>
          <w:bCs w:val="0"/>
          <w:sz w:val="28"/>
          <w:szCs w:val="240"/>
          <w:lang w:val="en-US" w:eastAsia="zh-CN"/>
        </w:rPr>
        <w:t>3.1 产品背景</w:t>
      </w:r>
      <w:bookmarkEnd w:id="37"/>
    </w:p>
    <w:p w14:paraId="69BC5968">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8" w:name="_Toc31506"/>
      <w:r>
        <w:rPr>
          <w:rFonts w:hint="eastAsia" w:ascii="黑体" w:hAnsi="黑体" w:eastAsia="黑体" w:cs="黑体"/>
          <w:lang w:val="en-US" w:eastAsia="zh-CN"/>
        </w:rPr>
        <w:t>3.1.1 产品构思及定位</w:t>
      </w:r>
      <w:bookmarkEnd w:id="38"/>
    </w:p>
    <w:p w14:paraId="27951A1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为在读大学生，我们的“碳融智核（碳账本）”中小企业ESG数据自动化与绿色金融赋能平台，构思源于校园观察与社会需求：大学期间，我们深刻体会到信息不对称给学子带来的困扰，而在学习“双碳”战略、参与绿色实践时发现，当前中小企业绿色转型已成必然，却面临ESG数据管理不规范、合规成本高、融资对接难的痛点，现有服务也无法适配其“轻量化、低成本、易操作”的需求。基于这份认知，我们萌生了打造该平台的想法，希望以技术为中小企业绿色转型减负赋能。</w:t>
      </w:r>
    </w:p>
    <w:p w14:paraId="21D10B1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于此，本产品以“中小企业绿色经营的轻量化数字工具”为核心定位，聚焦电商生态中小企业、制造业小微企业、供应链配套企业三大核心客群，首阶段重点深耕电商生态中小企业市场。产品采用SaaS云端部署模式，打造“数据采集-核算分析-报告生成-金融对接-数据可视化”全链路自动化服务体系，融合多模态AI技术实现核心流程智能化，以低成本、高效率、低门槛为核心差异化优势，区别于传统咨询服务与大型企业专用系统，同时以“成长伙伴”为品牌形象，为中小企业提供陪伴式的ESG与碳管理服务，实现“数据可视化、信用资产化”，打通中小企业绿色转型与绿色金融对接的最后一公里，助力企业实现数字化与绿色低碳的双重升级。</w:t>
      </w:r>
    </w:p>
    <w:p w14:paraId="5E1A22EF">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9" w:name="_Toc5587"/>
      <w:r>
        <w:rPr>
          <w:rFonts w:hint="eastAsia" w:ascii="黑体" w:hAnsi="黑体" w:eastAsia="黑体" w:cs="黑体"/>
          <w:lang w:val="en-US" w:eastAsia="zh-CN"/>
        </w:rPr>
        <w:t>3.1.2 产品目标</w:t>
      </w:r>
      <w:bookmarkEnd w:id="39"/>
    </w:p>
    <w:p w14:paraId="599CFDA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本产品围绕“解决痛点、创造价值、构建生态”核心方向，分阶段推进产品与产业价值的落地：</w:t>
      </w:r>
    </w:p>
    <w:p w14:paraId="47C97BD3">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短期（上线后6个月）：</w:t>
      </w:r>
      <w:r>
        <w:rPr>
          <w:rFonts w:hint="eastAsia" w:asciiTheme="minorEastAsia" w:hAnsiTheme="minorEastAsia" w:eastAsiaTheme="minorEastAsia" w:cstheme="minorEastAsia"/>
          <w:lang w:val="en-US" w:eastAsia="zh-CN"/>
        </w:rPr>
        <w:t>完成核心功能的市场验证，实现注册用户超1000家，付费转化率达15%。助力用户实现数据管理人力成本降低70%、合规成本降低40%以上，建立初期市场口碑。</w:t>
      </w:r>
    </w:p>
    <w:p w14:paraId="35049B4A">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中期（上线后1-2年）：</w:t>
      </w:r>
      <w:r>
        <w:rPr>
          <w:rFonts w:hint="eastAsia" w:asciiTheme="minorEastAsia" w:hAnsiTheme="minorEastAsia" w:eastAsiaTheme="minorEastAsia" w:cstheme="minorEastAsia"/>
          <w:lang w:val="en-US" w:eastAsia="zh-CN"/>
        </w:rPr>
        <w:t>打通电商平台、政府补贴系统及金融机构的数据对接，将绿色金融产品对接成功率提升至30%以上，助力用户绿色信贷获批率超过50%。打造10个以上行业标杆案例，并将服务范围从电商中小企业拓展至制造业小微企业及供应链配套企业。</w:t>
      </w:r>
    </w:p>
    <w:p w14:paraId="7991E679">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长期（上线后2-3年）：</w:t>
      </w:r>
      <w:r>
        <w:rPr>
          <w:rFonts w:hint="eastAsia" w:asciiTheme="minorEastAsia" w:hAnsiTheme="minorEastAsia" w:eastAsiaTheme="minorEastAsia" w:cstheme="minorEastAsia"/>
          <w:lang w:val="en-US" w:eastAsia="zh-CN"/>
        </w:rPr>
        <w:t>完成功能升级与生态化布局，服务覆盖全国主要省市中小企业，构建起连接“企业-金融机构-政府-电商平台”的绿色生态网络。目标成为国内领先的中小企业轻量化ESG与碳管理服务平台，推动形成行业服务标准，助力“双碳”战略落地。</w:t>
      </w:r>
    </w:p>
    <w:p w14:paraId="4A498F3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heme="minorEastAsia" w:hAnsiTheme="minorEastAsia" w:eastAsiaTheme="minorEastAsia" w:cstheme="minorEastAsia"/>
          <w:lang w:val="en-US" w:eastAsia="zh-CN"/>
        </w:rPr>
      </w:pPr>
    </w:p>
    <w:p w14:paraId="6E3EF7DE">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66432" behindDoc="0" locked="0" layoutInCell="1" allowOverlap="1">
            <wp:simplePos x="0" y="0"/>
            <wp:positionH relativeFrom="column">
              <wp:posOffset>0</wp:posOffset>
            </wp:positionH>
            <wp:positionV relativeFrom="paragraph">
              <wp:posOffset>19050</wp:posOffset>
            </wp:positionV>
            <wp:extent cx="5615940" cy="3159125"/>
            <wp:effectExtent l="9525" t="9525" r="13335" b="19050"/>
            <wp:wrapTopAndBottom/>
            <wp:docPr id="36" name="图片 36" descr="b88c0fe47a8a538153d83ca8810b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88c0fe47a8a538153d83ca8810b2871"/>
                    <pic:cNvPicPr>
                      <a:picLocks noChangeAspect="1"/>
                    </pic:cNvPicPr>
                  </pic:nvPicPr>
                  <pic:blipFill>
                    <a:blip r:embed="rId16"/>
                    <a:stretch>
                      <a:fillRect/>
                    </a:stretch>
                  </pic:blipFill>
                  <pic:spPr>
                    <a:xfrm>
                      <a:off x="0" y="0"/>
                      <a:ext cx="5615940" cy="315912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7</w:t>
      </w:r>
      <w:r>
        <w:rPr>
          <w:rFonts w:hint="eastAsia" w:asciiTheme="majorEastAsia" w:hAnsiTheme="majorEastAsia" w:eastAsiaTheme="majorEastAsia" w:cstheme="majorEastAsia"/>
          <w:b/>
          <w:bCs/>
        </w:rPr>
        <w:fldChar w:fldCharType="end"/>
      </w:r>
      <w:bookmarkStart w:id="40" w:name="_Toc14568"/>
      <w:r>
        <w:rPr>
          <w:rFonts w:hint="eastAsia" w:asciiTheme="majorEastAsia" w:hAnsiTheme="majorEastAsia" w:eastAsiaTheme="majorEastAsia" w:cstheme="majorEastAsia"/>
          <w:b/>
          <w:bCs/>
          <w:lang w:eastAsia="zh-CN"/>
        </w:rPr>
        <w:t xml:space="preserve"> 碳融智核产品短期 - 中期 - 长期战略目标与成果拆解图</w:t>
      </w:r>
      <w:bookmarkEnd w:id="40"/>
    </w:p>
    <w:p w14:paraId="5007B5D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1" w:name="_Toc28674"/>
      <w:r>
        <w:rPr>
          <w:rFonts w:hint="eastAsia" w:ascii="黑体" w:hAnsi="黑体" w:eastAsia="黑体" w:cs="黑体"/>
          <w:lang w:val="en-US" w:eastAsia="zh-CN"/>
        </w:rPr>
        <w:t>3.1.3 产品及用户需求分析</w:t>
      </w:r>
      <w:bookmarkEnd w:id="41"/>
    </w:p>
    <w:p w14:paraId="66D5C73A">
      <w:pPr>
        <w:keepNext w:val="0"/>
        <w:keepLines w:val="0"/>
        <w:pageBreakBefore w:val="0"/>
        <w:widowControl w:val="0"/>
        <w:numPr>
          <w:ilvl w:val="0"/>
          <w:numId w:val="1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核心用户群体划分及需求特征</w:t>
      </w:r>
    </w:p>
    <w:p w14:paraId="4D0D9F0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本产品核心用户为中小企业。结合行业属性、业务场景及核心需求的差异，我们将其划分为三大类。各群体的需求特征与痛点，均能与产品功能精准对应。</w:t>
      </w:r>
    </w:p>
    <w:p w14:paraId="1A991054">
      <w:pPr>
        <w:keepNext w:val="0"/>
        <w:keepLines w:val="0"/>
        <w:pageBreakBefore w:val="0"/>
        <w:widowControl w:val="0"/>
        <w:numPr>
          <w:ilvl w:val="0"/>
          <w:numId w:val="13"/>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电商生态中小企业</w:t>
      </w:r>
    </w:p>
    <w:p w14:paraId="42FE454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这类企业包括淘宝、京东、拼多多等平台商家，是本产品首阶段重点服务的核心客群。它们的数字化基础较好，业务核心集中在订单履约、物流配送和包装耗材使用等场景。</w:t>
      </w:r>
    </w:p>
    <w:p w14:paraId="716916D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其核心需求是满足平台“绿色商家”认证和减碳订单申报要求，以此获取平台绿色流量扶持，避免因绿色指标不达标流失订单。同时，它们还需要高频次、场景化的碳核算工具，以及适配平台验厂、活动报名的标准化ESG报告。</w:t>
      </w:r>
    </w:p>
    <w:p w14:paraId="3D358A7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对应的核心痛点的是人工核算效率低下，报告编制的专业度不足，难以满足平台各类绿色相关要求。</w:t>
      </w:r>
    </w:p>
    <w:p w14:paraId="4DD069AA">
      <w:pPr>
        <w:keepNext w:val="0"/>
        <w:keepLines w:val="0"/>
        <w:pageBreakBefore w:val="0"/>
        <w:widowControl w:val="0"/>
        <w:numPr>
          <w:ilvl w:val="0"/>
          <w:numId w:val="13"/>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制造业小微企业</w:t>
      </w:r>
    </w:p>
    <w:p w14:paraId="2801404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这类企业涵盖中小型机械加工、轻工制造等领域，拥有稳定的生产能耗数据。它们的核心需求是获取政府绿色技改补贴，同时对接银行绿色信贷，为企业发展注入资金支持。</w:t>
      </w:r>
    </w:p>
    <w:p w14:paraId="05F82D4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核心痛点在于缺乏合规的碳排放数据与ESG评分，无法支撑政策申报和融资申请。同时，它们难以承担高成本的专业咨询服务，无力解决合规与融资过程中的专业难题。</w:t>
      </w:r>
    </w:p>
    <w:p w14:paraId="651BB6CE">
      <w:pPr>
        <w:keepNext w:val="0"/>
        <w:keepLines w:val="0"/>
        <w:pageBreakBefore w:val="0"/>
        <w:widowControl w:val="0"/>
        <w:numPr>
          <w:ilvl w:val="0"/>
          <w:numId w:val="13"/>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供应链配套企业</w:t>
      </w:r>
    </w:p>
    <w:p w14:paraId="13B8D4A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这类企业主要为沃尔玛、京东等链主企业，提供零部件、包装等配套服务。它们受下游核心企业绿色准入门槛的约束，合作稳定性与绿色合规能力直接挂钩。</w:t>
      </w:r>
    </w:p>
    <w:p w14:paraId="1813E85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核心需求是快速生成符合供应链合作方要求的标准化ESG报告，以此保障长期合作关系，避免被排除在供应链体系之外。</w:t>
      </w:r>
    </w:p>
    <w:p w14:paraId="0D232D2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核心痛点是对下游企业的ESG评价标准不熟悉，报告定制化难度大，且缺乏专业能力快速适配不同合作方的差异化要求。</w:t>
      </w:r>
    </w:p>
    <w:p w14:paraId="675DCF80">
      <w:pPr>
        <w:keepNext w:val="0"/>
        <w:keepLines w:val="0"/>
        <w:pageBreakBefore w:val="0"/>
        <w:widowControl w:val="0"/>
        <w:numPr>
          <w:ilvl w:val="0"/>
          <w:numId w:val="1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产品需求核心匹配点</w:t>
      </w:r>
    </w:p>
    <w:p w14:paraId="73EF374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产品设计以用户需求为核心，围绕“合规、降本、融资、决策”四大核心诉求展开，实现用户需求与产品服务的精准匹配，切实解决中小企业各类绿色发展痛点。</w:t>
      </w:r>
    </w:p>
    <w:p w14:paraId="0950311B">
      <w:pPr>
        <w:keepNext w:val="0"/>
        <w:keepLines w:val="0"/>
        <w:pageBreakBefore w:val="0"/>
        <w:widowControl w:val="0"/>
        <w:numPr>
          <w:ilvl w:val="0"/>
          <w:numId w:val="14"/>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适配合规需求</w:t>
      </w:r>
    </w:p>
    <w:p w14:paraId="6B3EF96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打造了自动化碳核算与AIGC智能报告生成功能，内置多套标准化模板。这些模板可适配政策申报、品牌方验厂、供应链准入等多种场景，无需企业具备专业知识，就能轻松完成合规相关材料的准备，解决企业专业能力不足的核心问题。</w:t>
      </w:r>
    </w:p>
    <w:p w14:paraId="3C185FB1">
      <w:pPr>
        <w:keepNext w:val="0"/>
        <w:keepLines w:val="0"/>
        <w:pageBreakBefore w:val="0"/>
        <w:widowControl w:val="0"/>
        <w:numPr>
          <w:ilvl w:val="0"/>
          <w:numId w:val="14"/>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适配降本需求</w:t>
      </w:r>
    </w:p>
    <w:p w14:paraId="258D085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通过多源数据智能采集与自动化处理功能，替代人工数据整理、核算工作，大幅减少企业人力投入与时间成本，提升工作效率。同时，采用“基础版免费+高级版低费”的定价模式，将企业年度服务成本控制在2万元以内，大幅降低中小企业的绿色转型成本，让更多企业能够负担得起。</w:t>
      </w:r>
    </w:p>
    <w:p w14:paraId="0E25F211">
      <w:pPr>
        <w:keepNext w:val="0"/>
        <w:keepLines w:val="0"/>
        <w:pageBreakBefore w:val="0"/>
        <w:widowControl w:val="0"/>
        <w:numPr>
          <w:ilvl w:val="0"/>
          <w:numId w:val="14"/>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适配融资需求</w:t>
      </w:r>
    </w:p>
    <w:p w14:paraId="77C3A87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专门开发绿色金融产品智能匹配与对接模块，整合绿色信贷、补贴贷等各类金融资源。基于企业ESG评分与碳效等级，实现金融产品的精准匹配，打通“数据-信用-资金”的转化通道，帮助中小企业解决融资难、融资慢的问题。</w:t>
      </w:r>
    </w:p>
    <w:p w14:paraId="69198BA3">
      <w:pPr>
        <w:keepNext w:val="0"/>
        <w:keepLines w:val="0"/>
        <w:pageBreakBefore w:val="0"/>
        <w:widowControl w:val="0"/>
        <w:numPr>
          <w:ilvl w:val="0"/>
          <w:numId w:val="14"/>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适配决策需求</w:t>
      </w:r>
    </w:p>
    <w:p w14:paraId="1383FF3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搭建可视化ESG数据驾驶舱，以直观的图表形式，呈现企业碳排放趋势、能耗结构、行业对标等核心数据。帮助企业管理者快速掌握自身绿色发展水平，清晰了解与同行的差距，从而制定精准的减碳计划与经营决策，助力企业绿色可持续发展。3.2 产品介绍</w:t>
      </w:r>
    </w:p>
    <w:p w14:paraId="7C9B39F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sz w:val="30"/>
          <w:szCs w:val="32"/>
        </w:rPr>
      </w:pPr>
      <w:r>
        <w:rPr>
          <w:rFonts w:hint="eastAsia" w:asciiTheme="minorEastAsia" w:hAnsiTheme="minorEastAsia" w:eastAsiaTheme="minorEastAsia" w:cstheme="minorEastAsia"/>
          <w:lang w:val="en-US" w:eastAsia="zh-CN"/>
        </w:rPr>
        <w:t>本产品为基于多模态AI技术的SaaS云端平台，支持PC端Web Portal、微信/支付宝小程序双端操作，无需本地部署，零基础即可上手。产品以“数据驱动”为核心，构建五大核心功能模块，形成从数据采集到价值转化的完整闭环，为中小企业提供一站式、自动化的ESG与碳管理解决方案，各模块</w:t>
      </w:r>
    </w:p>
    <w:p w14:paraId="30DB9E6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核心功能如下：</w:t>
      </w:r>
    </w:p>
    <w:p w14:paraId="43BEB49F">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67456" behindDoc="0" locked="0" layoutInCell="1" allowOverlap="1">
            <wp:simplePos x="0" y="0"/>
            <wp:positionH relativeFrom="column">
              <wp:posOffset>0</wp:posOffset>
            </wp:positionH>
            <wp:positionV relativeFrom="paragraph">
              <wp:posOffset>24130</wp:posOffset>
            </wp:positionV>
            <wp:extent cx="5615940" cy="3157220"/>
            <wp:effectExtent l="9525" t="9525" r="13335" b="20955"/>
            <wp:wrapTopAndBottom/>
            <wp:docPr id="23" name="图片 23" descr="996611d0d6545660e11dddfb8fb30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96611d0d6545660e11dddfb8fb305b8"/>
                    <pic:cNvPicPr>
                      <a:picLocks noChangeAspect="1"/>
                    </pic:cNvPicPr>
                  </pic:nvPicPr>
                  <pic:blipFill>
                    <a:blip r:embed="rId17"/>
                    <a:stretch>
                      <a:fillRect/>
                    </a:stretch>
                  </pic:blipFill>
                  <pic:spPr>
                    <a:xfrm>
                      <a:off x="0" y="0"/>
                      <a:ext cx="5615940" cy="3157220"/>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8</w:t>
      </w:r>
      <w:r>
        <w:rPr>
          <w:rFonts w:hint="eastAsia" w:asciiTheme="majorEastAsia" w:hAnsiTheme="majorEastAsia" w:eastAsiaTheme="majorEastAsia" w:cstheme="majorEastAsia"/>
          <w:b/>
          <w:bCs/>
        </w:rPr>
        <w:fldChar w:fldCharType="end"/>
      </w:r>
      <w:bookmarkStart w:id="42" w:name="_Toc15490"/>
      <w:r>
        <w:rPr>
          <w:rFonts w:hint="eastAsia" w:asciiTheme="majorEastAsia" w:hAnsiTheme="majorEastAsia" w:eastAsiaTheme="majorEastAsia" w:cstheme="majorEastAsia"/>
          <w:b/>
          <w:bCs/>
          <w:lang w:eastAsia="zh-CN"/>
        </w:rPr>
        <w:t xml:space="preserve"> 碳融智核产品五大核心功能模块联动示意图</w:t>
      </w:r>
      <w:bookmarkEnd w:id="42"/>
    </w:p>
    <w:p w14:paraId="7CBFC8D6">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3" w:name="_Toc28175"/>
      <w:r>
        <w:rPr>
          <w:rFonts w:hint="eastAsia" w:ascii="黑体" w:hAnsi="黑体" w:eastAsia="黑体" w:cs="黑体"/>
          <w:lang w:val="en-US" w:eastAsia="zh-CN"/>
        </w:rPr>
        <w:t>3.2.1 多源数据智能采集与治理模块</w:t>
      </w:r>
      <w:bookmarkEnd w:id="43"/>
    </w:p>
    <w:p w14:paraId="02FA9A7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作为产品的基础模块，解决企业数据“散、乱、杂”的核心痛点，实现数据的低成本、高效率采集与清洗。支持票据智能解析与系统接口对接两种采集方式，企业可直接拍摄/上传电费单、物流面单、燃气发票等常见票据，系统通过OCR技术自动识别关键字段；针对已有数字化基础的企业，平台预留标准化RESTful API接口，可对接电商订单系统、物流管理系统等，实现数据自动抓取与同步。同时建立全流程数据质量管控机制，自动完成数据筛选、校验与异常处理，确保数据真实可信，为后续核算分析工作奠定基础。</w:t>
      </w:r>
    </w:p>
    <w:p w14:paraId="1B3A0DD2">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4" w:name="_Toc27213"/>
      <w:r>
        <w:rPr>
          <w:rFonts w:hint="eastAsia" w:ascii="黑体" w:hAnsi="黑体" w:eastAsia="黑体" w:cs="黑体"/>
          <w:lang w:val="en-US" w:eastAsia="zh-CN"/>
        </w:rPr>
        <w:t>3.2.2 自动化碳核算与ESG评分模型</w:t>
      </w:r>
      <w:bookmarkEnd w:id="44"/>
    </w:p>
    <w:p w14:paraId="403EC5B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产品的核心模块，实现原始数据向合规碳指标与ESG评分的转化。内置多标准兼容的碳排放因子数据库，覆盖企业用电、物流、生产等核心排放场景，基于“活动数据×排放因子”的国家标准原理，实现一键式自动化碳核算，生成合规性强、可信度高的核算结果。同时构建贴合中小企业实际的动态ESG评分模型，摒弃“一刀切”评价模式，从环境（E）、社会（S）、治理（G）三大维度设计可量化、实操性强的指标体系，采用层次分析法确定指标权重，生成百分制ESG评分，既反映企业现状，也认可企业的绿色改进努力。</w:t>
      </w:r>
    </w:p>
    <w:p w14:paraId="47C35B96">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5" w:name="_Toc32214"/>
      <w:r>
        <w:rPr>
          <w:rFonts w:hint="eastAsia" w:ascii="黑体" w:hAnsi="黑体" w:eastAsia="黑体" w:cs="黑体"/>
          <w:lang w:val="en-US" w:eastAsia="zh-CN"/>
        </w:rPr>
        <w:t>3.2.3 AIGC智能报告生成模块</w:t>
      </w:r>
      <w:bookmarkEnd w:id="45"/>
    </w:p>
    <w:p w14:paraId="3676676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针对企业报告编制专业度不足、效率低的痛点，接入大语言模型实现报告的智能化、定制化生成。企业可根据实际需求选择报告目标，包括品牌方验厂、银行绿色信贷申请、政府政策申报、平台活动报名等，系统分钟级生成图文并茂、逻辑清晰的定制化报告，支持Word/PDF格式下载与在线分享。报告内容基于企业实际碳核算数据与ESG评分生成，数据真实可溯，同时附带改进建议，帮助企业优化绿色发展水平。</w:t>
      </w:r>
    </w:p>
    <w:p w14:paraId="2663BA08">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6" w:name="_Toc10270"/>
      <w:r>
        <w:rPr>
          <w:rFonts w:hint="eastAsia" w:ascii="黑体" w:hAnsi="黑体" w:eastAsia="黑体" w:cs="黑体"/>
          <w:lang w:val="en-US" w:eastAsia="zh-CN"/>
        </w:rPr>
        <w:t>3.2.4 绿色金融产品智能匹配与对接模块</w:t>
      </w:r>
      <w:bookmarkEnd w:id="46"/>
    </w:p>
    <w:p w14:paraId="6EB0A4B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实现企业ESG与碳管理数据向“数据信用”的转化，是产品的价值核心模块。平台建立绿色金融产品知识库，整合银行、政府等优质绿色金融资源，包括绿色信贷、低碳企业补贴贷、绿色供应链融资等。采用“规则过滤+协同过滤”混合推荐模式，先通过企业行业、注册资本等硬性条件初筛，再基于ESG评分、碳效等级、碳排放下降趋势等软性指标计算产品匹配度并排序，企业可通过平台一键对接金融机构，大幅提升融资效率。</w:t>
      </w:r>
    </w:p>
    <w:p w14:paraId="761AEE1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7" w:name="_Toc16775"/>
      <w:r>
        <w:rPr>
          <w:rFonts w:hint="eastAsia" w:ascii="黑体" w:hAnsi="黑体" w:eastAsia="黑体" w:cs="黑体"/>
          <w:lang w:val="en-US" w:eastAsia="zh-CN"/>
        </w:rPr>
        <w:t>3.2.5 可视化ESG数据驾驶舱</w:t>
      </w:r>
      <w:bookmarkEnd w:id="47"/>
    </w:p>
    <w:p w14:paraId="24FB01F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企业管理者提供数据决策支持的可视化模块，打造交互式数据看板，支持多维度数据钻取与自定义查询。核心可视化内容包括：碳排放全景图，展示碳排放总量、碳强度的月度/年度变化趋势；能耗结构分析，呈现不同能源的消耗占比与成本构成，定位高耗能环节；碳效对标分析，将企业单位产值碳耗与同行业平均水平、标杆企业进行横向对比；ESG得分雷达图，直观展示E、S、G三大维度及细分指标的得分情况，让企业管理者一目了然掌握绿色发展全局。</w:t>
      </w:r>
    </w:p>
    <w:p w14:paraId="6176F7E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48" w:name="_Toc6074"/>
      <w:r>
        <w:rPr>
          <w:rFonts w:hint="eastAsia" w:ascii="黑体" w:hAnsi="黑体" w:eastAsia="黑体" w:cs="黑体"/>
          <w:b w:val="0"/>
          <w:bCs w:val="0"/>
          <w:sz w:val="28"/>
          <w:szCs w:val="240"/>
          <w:lang w:val="en-US" w:eastAsia="zh-CN"/>
        </w:rPr>
        <w:t>3.3 产品特性</w:t>
      </w:r>
      <w:bookmarkEnd w:id="48"/>
    </w:p>
    <w:p w14:paraId="1D5AE2A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本产品在功能设计与服务模式上进行创新，结合中小企业的使用习惯与需求特点，打造私人订制+分答模式、平台虚拟货币两大核心特性，提升产品的适配性、用户粘性与服务价值，形成差异化的市场竞争力。</w:t>
      </w:r>
    </w:p>
    <w:p w14:paraId="60FF739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9" w:name="_Toc11339"/>
      <w:r>
        <w:rPr>
          <w:rFonts w:hint="eastAsia" w:ascii="黑体" w:hAnsi="黑体" w:eastAsia="黑体" w:cs="黑体"/>
          <w:lang w:val="en-US" w:eastAsia="zh-CN"/>
        </w:rPr>
        <w:t>3.3.1 私人订制与“分答”模式的应用</w:t>
      </w:r>
      <w:bookmarkEnd w:id="49"/>
    </w:p>
    <w:p w14:paraId="67C7F097">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私人订制化服务</w:t>
      </w:r>
    </w:p>
    <w:p w14:paraId="78A0168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产品摒弃标准化服务的单一模式，针对不同行业、企业规模、业务场景打造全维度私人订制服务，实现“千人千面”的功能适配：</w:t>
      </w:r>
    </w:p>
    <w:p w14:paraId="12FA677A">
      <w:pPr>
        <w:keepNext w:val="0"/>
        <w:keepLines w:val="0"/>
        <w:pageBreakBefore w:val="0"/>
        <w:widowControl w:val="0"/>
        <w:numPr>
          <w:ilvl w:val="0"/>
          <w:numId w:val="16"/>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行业定制化：</w:t>
      </w:r>
      <w:r>
        <w:rPr>
          <w:rFonts w:hint="eastAsia" w:asciiTheme="minorEastAsia" w:hAnsiTheme="minorEastAsia" w:eastAsiaTheme="minorEastAsia" w:cstheme="minorEastAsia"/>
          <w:lang w:val="en-US" w:eastAsia="zh-CN"/>
        </w:rPr>
        <w:t>为电商、制造、供应链配套等不同行业企业定制专属的碳核算指标体系与报告模板，例如为电商企业设计“订单碳足迹核算”专属功能，为制造企业开发“补贴申报专属包”，内置各地政策模板与申报系统字段对接功能；</w:t>
      </w:r>
    </w:p>
    <w:p w14:paraId="7694593D">
      <w:pPr>
        <w:keepNext w:val="0"/>
        <w:keepLines w:val="0"/>
        <w:pageBreakBefore w:val="0"/>
        <w:widowControl w:val="0"/>
        <w:numPr>
          <w:ilvl w:val="0"/>
          <w:numId w:val="16"/>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规模定制化：</w:t>
      </w:r>
      <w:r>
        <w:rPr>
          <w:rFonts w:hint="eastAsia" w:asciiTheme="minorEastAsia" w:hAnsiTheme="minorEastAsia" w:eastAsiaTheme="minorEastAsia" w:cstheme="minorEastAsia"/>
          <w:lang w:val="en-US" w:eastAsia="zh-CN"/>
        </w:rPr>
        <w:t>根据企业的注册资本、年营收、员工规模等，适配不同的碳核算范围与ESG评价标准，为小微企业简化核算流程，为中型企业丰富分析维度；</w:t>
      </w:r>
    </w:p>
    <w:p w14:paraId="38A3FA43">
      <w:pPr>
        <w:keepNext w:val="0"/>
        <w:keepLines w:val="0"/>
        <w:pageBreakBefore w:val="0"/>
        <w:widowControl w:val="0"/>
        <w:numPr>
          <w:ilvl w:val="0"/>
          <w:numId w:val="16"/>
        </w:numPr>
        <w:kinsoku/>
        <w:wordWrap/>
        <w:overflowPunct/>
        <w:topLinePunct w:val="0"/>
        <w:autoSpaceDE/>
        <w:autoSpaceDN/>
        <w:bidi w:val="0"/>
        <w:adjustRightInd/>
        <w:snapToGrid/>
        <w:ind w:left="959" w:leftChars="20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需求定制化：</w:t>
      </w:r>
      <w:r>
        <w:rPr>
          <w:rFonts w:hint="eastAsia" w:asciiTheme="minorEastAsia" w:hAnsiTheme="minorEastAsia" w:eastAsiaTheme="minorEastAsia" w:cstheme="minorEastAsia"/>
          <w:lang w:val="en-US" w:eastAsia="zh-CN"/>
        </w:rPr>
        <w:t>支持企业根据自身需求自定义碳核算周期、报告内容模块、数据可视化维度，同时提供定制化的碳效优化方案，为高需求企业量身设计减碳路径。</w:t>
      </w:r>
    </w:p>
    <w:p w14:paraId="196B3981">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“分答”模式的创新应用</w:t>
      </w:r>
    </w:p>
    <w:p w14:paraId="390A7B3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解决中小企业在绿色发展过程中遇到的专业问题无法及时解答的痛点，产品搭建“智能问答+专家分答”的双轨服务体系，创新应用“分答”模式，实现问题的精准、高效解答：智能即时分答：平台内置AI智能问答机器人，整合碳排放、ESG披露、绿色金融等领域的专业知识与政策法规，企业用户可通过文字/语音形式提问，机器人实现7×24小时即时解答，解决日常操作、基础专业知识等问题；专家一对一分答：针对复杂的专业问题（如碳效优化、融资方案设计、政策申报指导等），产品邀请ESG领域专家、绿色金融顾问、行业技术专家入驻平台，企业用户可通过付费提问的方式向专家发起咨询，专家进行一对一精准解答，同时支持问题的收藏、分享，形成专业的知识问答库;社群专属分答：搭建企业用户社群，按行业划分社群板块，邀请专家入驻社群进行定期答疑，同时鼓励企业用户之间相互交流经验，形成“专家解答+用户互助”的分答生态。</w:t>
      </w:r>
    </w:p>
    <w:p w14:paraId="3ABEDBEC">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50" w:name="_Toc28109"/>
      <w:r>
        <w:rPr>
          <w:rFonts w:hint="eastAsia" w:ascii="黑体" w:hAnsi="黑体" w:eastAsia="黑体" w:cs="黑体"/>
          <w:lang w:val="en-US" w:eastAsia="zh-CN"/>
        </w:rPr>
        <w:t>3.3.2 虚拟货币——无忧果</w:t>
      </w:r>
      <w:bookmarkEnd w:id="50"/>
    </w:p>
    <w:p w14:paraId="23D7FF78">
      <w:pPr>
        <w:keepNext w:val="0"/>
        <w:keepLines w:val="0"/>
        <w:pageBreakBefore w:val="0"/>
        <w:widowControl w:val="0"/>
        <w:numPr>
          <w:ilvl w:val="0"/>
          <w:numId w:val="0"/>
        </w:numPr>
        <w:kinsoku/>
        <w:wordWrap/>
        <w:overflowPunct/>
        <w:topLinePunct w:val="0"/>
        <w:autoSpaceDE/>
        <w:autoSpaceDN/>
        <w:bidi w:val="0"/>
        <w:adjustRightInd/>
        <w:snapToGrid/>
        <w:ind w:leftChars="0" w:firstLine="654" w:firstLineChars="200"/>
        <w:textAlignment w:val="auto"/>
        <w:rPr>
          <w:rFonts w:hint="eastAsia" w:asciiTheme="minorEastAsia" w:hAnsiTheme="minorEastAsia" w:eastAsiaTheme="minorEastAsia" w:cstheme="minorEastAsia"/>
          <w:lang w:val="en-US" w:eastAsia="zh-CN"/>
        </w:rPr>
      </w:pPr>
      <w:r>
        <w:rPr>
          <w:rFonts w:hint="eastAsia"/>
          <w:sz w:val="30"/>
          <w:szCs w:val="32"/>
        </w:rPr>
        <w:drawing>
          <wp:anchor distT="0" distB="0" distL="114300" distR="114300" simplePos="0" relativeHeight="251668480" behindDoc="0" locked="0" layoutInCell="1" allowOverlap="1">
            <wp:simplePos x="0" y="0"/>
            <wp:positionH relativeFrom="column">
              <wp:posOffset>0</wp:posOffset>
            </wp:positionH>
            <wp:positionV relativeFrom="paragraph">
              <wp:posOffset>970280</wp:posOffset>
            </wp:positionV>
            <wp:extent cx="5615940" cy="3157220"/>
            <wp:effectExtent l="9525" t="9525" r="13335" b="20955"/>
            <wp:wrapTopAndBottom/>
            <wp:docPr id="26" name="图片 26" descr="616e3dc7333211f5f9eb376c55576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16e3dc7333211f5f9eb376c55576ee0"/>
                    <pic:cNvPicPr>
                      <a:picLocks noChangeAspect="1"/>
                    </pic:cNvPicPr>
                  </pic:nvPicPr>
                  <pic:blipFill>
                    <a:blip r:embed="rId18"/>
                    <a:stretch>
                      <a:fillRect/>
                    </a:stretch>
                  </pic:blipFill>
                  <pic:spPr>
                    <a:xfrm>
                      <a:off x="0" y="0"/>
                      <a:ext cx="5615940" cy="3157220"/>
                    </a:xfrm>
                    <a:prstGeom prst="rect">
                      <a:avLst/>
                    </a:prstGeom>
                    <a:ln>
                      <a:solidFill>
                        <a:schemeClr val="tx1"/>
                      </a:solidFill>
                    </a:ln>
                  </pic:spPr>
                </pic:pic>
              </a:graphicData>
            </a:graphic>
          </wp:anchor>
        </w:drawing>
      </w:r>
      <w:r>
        <w:rPr>
          <w:rFonts w:hint="eastAsia" w:asciiTheme="minorEastAsia" w:hAnsiTheme="minorEastAsia" w:eastAsiaTheme="minorEastAsia" w:cstheme="minorEastAsia"/>
          <w:lang w:val="en-US" w:eastAsia="zh-CN"/>
        </w:rPr>
        <w:t>为提升用户粘性、激励企业积极参与绿色发展与平台互动，产品设计专属虚拟货币——无忧果，打造平台内的价值流通体系，无忧果可通过多种方式获取，并用于兑换平台内的各类增值服务，实现“使用-获取-兑换”的良性循环。</w:t>
      </w:r>
    </w:p>
    <w:p w14:paraId="60F60CF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9</w:t>
      </w:r>
      <w:r>
        <w:rPr>
          <w:rFonts w:hint="eastAsia" w:asciiTheme="majorEastAsia" w:hAnsiTheme="majorEastAsia" w:eastAsiaTheme="majorEastAsia" w:cstheme="majorEastAsia"/>
          <w:b/>
          <w:bCs/>
        </w:rPr>
        <w:fldChar w:fldCharType="end"/>
      </w:r>
      <w:bookmarkStart w:id="51" w:name="_Toc26637"/>
      <w:r>
        <w:rPr>
          <w:rFonts w:hint="eastAsia" w:asciiTheme="majorEastAsia" w:hAnsiTheme="majorEastAsia" w:eastAsiaTheme="majorEastAsia" w:cstheme="majorEastAsia"/>
          <w:b/>
          <w:bCs/>
          <w:lang w:eastAsia="zh-CN"/>
        </w:rPr>
        <w:t xml:space="preserve"> 碳融智核平台虚拟货币 “无忧果” 获取与使用场景全景图</w:t>
      </w:r>
      <w:bookmarkEnd w:id="51"/>
    </w:p>
    <w:p w14:paraId="26F1859A">
      <w:pPr>
        <w:keepNext w:val="0"/>
        <w:keepLines w:val="0"/>
        <w:pageBreakBefore w:val="0"/>
        <w:widowControl w:val="0"/>
        <w:numPr>
          <w:ilvl w:val="0"/>
          <w:numId w:val="1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无忧果的获取方式</w:t>
      </w:r>
    </w:p>
    <w:p w14:paraId="2DBFD63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无忧果的获取以用户行为激励为核心，覆盖平台注册、功能使用、绿色发展、社交分享等多个场景，无门槛易获取，具体方式包括：</w:t>
      </w:r>
    </w:p>
    <w:p w14:paraId="63370886">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新手福利：</w:t>
      </w:r>
      <w:r>
        <w:rPr>
          <w:rFonts w:hint="eastAsia" w:asciiTheme="minorEastAsia" w:hAnsiTheme="minorEastAsia" w:eastAsiaTheme="minorEastAsia" w:cstheme="minorEastAsia"/>
          <w:lang w:val="en-US" w:eastAsia="zh-CN"/>
        </w:rPr>
        <w:t>新用户完成平台注册、企业信息完善、首次票据识别、首次碳核算等操作，可获得相应的无忧果奖励；</w:t>
      </w:r>
    </w:p>
    <w:p w14:paraId="04E34A6E">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日常使用：</w:t>
      </w:r>
      <w:r>
        <w:rPr>
          <w:rFonts w:hint="eastAsia" w:asciiTheme="minorEastAsia" w:hAnsiTheme="minorEastAsia" w:eastAsiaTheme="minorEastAsia" w:cstheme="minorEastAsia"/>
          <w:lang w:val="en-US" w:eastAsia="zh-CN"/>
        </w:rPr>
        <w:t>企业用户每月登录平台、完成碳核算、生成报告、查看数据驾驶舱等日常操作，可获得每日/每月签到无忧果；</w:t>
      </w:r>
    </w:p>
    <w:p w14:paraId="459725B5">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绿色激励：</w:t>
      </w:r>
      <w:r>
        <w:rPr>
          <w:rFonts w:hint="eastAsia" w:asciiTheme="minorEastAsia" w:hAnsiTheme="minorEastAsia" w:eastAsiaTheme="minorEastAsia" w:cstheme="minorEastAsia"/>
          <w:lang w:val="en-US" w:eastAsia="zh-CN"/>
        </w:rPr>
        <w:t>企业用户的碳排放量实现同比/环比下降、ESG评分提升、绿色金融产品对接成功等，可获得高额无忧果奖励，激励企业积极推进绿色发展；</w:t>
      </w:r>
    </w:p>
    <w:p w14:paraId="29837E72">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社交分享：</w:t>
      </w:r>
      <w:r>
        <w:rPr>
          <w:rFonts w:hint="eastAsia" w:asciiTheme="minorEastAsia" w:hAnsiTheme="minorEastAsia" w:eastAsiaTheme="minorEastAsia" w:cstheme="minorEastAsia"/>
          <w:lang w:val="en-US" w:eastAsia="zh-CN"/>
        </w:rPr>
        <w:t>用户邀请好友注册并完成首次使用、将平台功能/专业知识分享至社交平台/行业社群，可获得相应的无忧果奖励；</w:t>
      </w:r>
    </w:p>
    <w:p w14:paraId="058B71E0">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活动参与：</w:t>
      </w:r>
      <w:r>
        <w:rPr>
          <w:rFonts w:hint="eastAsia" w:asciiTheme="minorEastAsia" w:hAnsiTheme="minorEastAsia" w:eastAsiaTheme="minorEastAsia" w:cstheme="minorEastAsia"/>
          <w:lang w:val="en-US" w:eastAsia="zh-CN"/>
        </w:rPr>
        <w:t>参与平台举办的绿色发展培训、政策解读直播、行业交流会等活动，可获得无忧果奖励。</w:t>
      </w:r>
    </w:p>
    <w:p w14:paraId="462402C8">
      <w:pPr>
        <w:keepNext w:val="0"/>
        <w:keepLines w:val="0"/>
        <w:pageBreakBefore w:val="0"/>
        <w:widowControl w:val="0"/>
        <w:numPr>
          <w:ilvl w:val="0"/>
          <w:numId w:val="1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无忧果的使用场景</w:t>
      </w:r>
    </w:p>
    <w:p w14:paraId="0109015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无忧果仅可在平台内使用，覆盖服务兑换、权益升级、费用抵扣等多个场景，不设提现功能，核心为提升用户的产品使用体验与服务价值，具体使用场景包括：</w:t>
      </w:r>
    </w:p>
    <w:p w14:paraId="592EA067">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增值服务兑换：</w:t>
      </w:r>
      <w:r>
        <w:rPr>
          <w:rFonts w:hint="eastAsia" w:asciiTheme="minorEastAsia" w:hAnsiTheme="minorEastAsia" w:eastAsiaTheme="minorEastAsia" w:cstheme="minorEastAsia"/>
          <w:lang w:val="en-US" w:eastAsia="zh-CN"/>
        </w:rPr>
        <w:t>可兑换平台内的增值服务，如ESG合规咨询、碳效优化方案设计、专家一对一分答时长、定制化报告模板等；</w:t>
      </w:r>
    </w:p>
    <w:p w14:paraId="2F800743">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功能次数兑换：</w:t>
      </w:r>
      <w:r>
        <w:rPr>
          <w:rFonts w:hint="eastAsia" w:asciiTheme="minorEastAsia" w:hAnsiTheme="minorEastAsia" w:eastAsiaTheme="minorEastAsia" w:cstheme="minorEastAsia"/>
          <w:lang w:val="en-US" w:eastAsia="zh-CN"/>
        </w:rPr>
        <w:t>可兑换票据识别、报告生成、绿色金融产品对接等功能的额外使用次数，解决基础版用户的功能次数限制问题；</w:t>
      </w:r>
    </w:p>
    <w:p w14:paraId="2A6971F1">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权益升级抵扣：</w:t>
      </w:r>
      <w:r>
        <w:rPr>
          <w:rFonts w:hint="eastAsia" w:asciiTheme="minorEastAsia" w:hAnsiTheme="minorEastAsia" w:eastAsiaTheme="minorEastAsia" w:cstheme="minorEastAsia"/>
          <w:lang w:val="en-US" w:eastAsia="zh-CN"/>
        </w:rPr>
        <w:t>用户升级平台高级版会员时，可使用无忧果抵扣部分会员费用，降低付费成本；</w:t>
      </w:r>
    </w:p>
    <w:p w14:paraId="49925EC3">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平台活动参与：</w:t>
      </w:r>
      <w:r>
        <w:rPr>
          <w:rFonts w:hint="eastAsia" w:asciiTheme="minorEastAsia" w:hAnsiTheme="minorEastAsia" w:eastAsiaTheme="minorEastAsia" w:cstheme="minorEastAsia"/>
          <w:lang w:val="en-US" w:eastAsia="zh-CN"/>
        </w:rPr>
        <w:t>可使用无忧果兑换平台举办的线下峰会、专业培训的入场资格，获取行业交流与学习的机会；</w:t>
      </w:r>
    </w:p>
    <w:p w14:paraId="55082A30">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绿色福利兑换：</w:t>
      </w:r>
      <w:r>
        <w:rPr>
          <w:rFonts w:hint="eastAsia" w:asciiTheme="minorEastAsia" w:hAnsiTheme="minorEastAsia" w:eastAsiaTheme="minorEastAsia" w:cstheme="minorEastAsia"/>
          <w:lang w:val="en-US" w:eastAsia="zh-CN"/>
        </w:rPr>
        <w:t>可兑换平台与合作方推出的绿色福利，如节能设备优惠券、绿色物流折扣券等，助力企业进一步降低绿色发展成本。</w:t>
      </w:r>
    </w:p>
    <w:p w14:paraId="7A59C71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heme="minorEastAsia" w:hAnsiTheme="minorEastAsia" w:eastAsiaTheme="minorEastAsia" w:cstheme="minorEastAsia"/>
          <w:lang w:val="en-US" w:eastAsia="zh-CN"/>
        </w:rPr>
        <w:sectPr>
          <w:pgSz w:w="11906" w:h="16838"/>
          <w:pgMar w:top="1417" w:right="1531" w:bottom="1417" w:left="1531" w:header="851" w:footer="992" w:gutter="0"/>
          <w:pgNumType w:fmt="decimal"/>
          <w:cols w:space="0" w:num="1"/>
          <w:rtlGutter w:val="0"/>
          <w:docGrid w:type="linesAndChars" w:linePitch="378" w:charSpace="5734"/>
        </w:sectPr>
      </w:pPr>
    </w:p>
    <w:p w14:paraId="51CB79E5">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52" w:name="_Toc7578"/>
      <w:r>
        <w:rPr>
          <w:rFonts w:hint="eastAsia"/>
          <w:lang w:val="en-US" w:eastAsia="zh-CN"/>
        </w:rPr>
        <w:t>第四章 商业模式</w:t>
      </w:r>
      <w:bookmarkEnd w:id="52"/>
    </w:p>
    <w:p w14:paraId="0752AEB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53" w:name="_Toc7013"/>
      <w:r>
        <w:rPr>
          <w:rFonts w:hint="eastAsia" w:ascii="黑体" w:hAnsi="黑体" w:eastAsia="黑体" w:cs="黑体"/>
          <w:b w:val="0"/>
          <w:bCs w:val="0"/>
          <w:sz w:val="28"/>
          <w:szCs w:val="240"/>
          <w:lang w:val="en-US" w:eastAsia="zh-CN"/>
        </w:rPr>
        <w:t>4.1商业模式概述</w:t>
      </w:r>
      <w:bookmarkEnd w:id="53"/>
    </w:p>
    <w:p w14:paraId="5F2B2CF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项目针对电商中小企业做ESG合规成本高、绿色融资难的核心问题，打造了“电商场景化线上工具+专业数据服务+绿色金融对接”的一体化服务模式，为商家提供从数据收集、碳排放核算、合规报告生成，到绿色融资对接、减碳方案优化的全流程服务。</w:t>
      </w:r>
    </w:p>
    <w:p w14:paraId="2F5903B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电商商家而言，入驻平台后即可直接使用：商家只需上传日常经营中的物流、包装、订单等业务数据，平台即可自动完成碳排放核算、ESG评分，并一键生成符合政策及平台要求的合规报告，满足申报政府补贴、参与平台大促、申请绿色商家认证等需求；同时平台内置绿色融资对接模块，商家可凭合规的ESG数据，直接申请银行绿色信贷、绿色保险等金融产品，将绿色经营数据转化为融资助力；平台还会根据核算数据，为商家提供针对性的减碳优化建议，帮助降低运营成本。</w:t>
      </w:r>
    </w:p>
    <w:p w14:paraId="1518E9A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以低成本、零门槛的方式，让中小电商轻松完成ESG管理，满足其合规与融资需求，并通过SaaS订阅、数据服务、融资对接分成等多元模式，实现稳定盈利与可持续发展；平台会依托电商专属ESG数据模型，实现核算与报告自动化，持续优化产品功能，整合电商经营数据、ESG专业能力与绿色金融资源，为商家提供一站式服务。</w:t>
      </w:r>
    </w:p>
    <w:p w14:paraId="48551E3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通过这样的服务，打通从数据采集、核算报告到融资对接、碳效优化的全流程，让电商中小企业的ESG数据真正成为有价值的资产，最终形成商家轻松合规、平台专业赋能、金融机构精准支持的良性循环，切实服务实体经济发展。</w:t>
      </w:r>
    </w:p>
    <w:p w14:paraId="1231D178">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54" w:name="_Toc31712"/>
      <w:r>
        <w:rPr>
          <w:rFonts w:hint="eastAsia" w:ascii="黑体" w:hAnsi="黑体" w:eastAsia="黑体" w:cs="黑体"/>
          <w:b w:val="0"/>
          <w:bCs w:val="0"/>
          <w:sz w:val="28"/>
          <w:szCs w:val="240"/>
          <w:lang w:val="en-US" w:eastAsia="zh-CN"/>
        </w:rPr>
        <w:t>4.2基础盈利手段</w:t>
      </w:r>
      <w:bookmarkEnd w:id="54"/>
    </w:p>
    <w:p w14:paraId="1BA6C4C1">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55" w:name="_Toc2188"/>
      <w:r>
        <w:rPr>
          <w:rFonts w:hint="eastAsia" w:ascii="黑体" w:hAnsi="黑体" w:eastAsia="黑体" w:cs="黑体"/>
          <w:lang w:val="en-US" w:eastAsia="zh-CN"/>
        </w:rPr>
        <w:t>4.2.1 SaaS订阅收入（核心基础营收）</w:t>
      </w:r>
      <w:bookmarkEnd w:id="55"/>
    </w:p>
    <w:p w14:paraId="235137D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采用免费+分级付费的电商行业适配定价，覆盖不同规模商家需求：</w:t>
      </w:r>
    </w:p>
    <w:p w14:paraId="6235A06A">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3</w:t>
      </w:r>
      <w:r>
        <w:rPr>
          <w:rFonts w:hint="eastAsia" w:asciiTheme="majorEastAsia" w:hAnsiTheme="majorEastAsia" w:eastAsiaTheme="majorEastAsia" w:cstheme="majorEastAsia"/>
          <w:b/>
          <w:bCs/>
        </w:rPr>
        <w:fldChar w:fldCharType="end"/>
      </w:r>
      <w:bookmarkStart w:id="56" w:name="_Toc27185"/>
      <w:r>
        <w:rPr>
          <w:rFonts w:hint="eastAsia" w:asciiTheme="majorEastAsia" w:hAnsiTheme="majorEastAsia" w:eastAsiaTheme="majorEastAsia" w:cstheme="majorEastAsia"/>
          <w:b/>
          <w:bCs/>
          <w:lang w:eastAsia="zh-CN"/>
        </w:rPr>
        <w:t xml:space="preserve"> 碳融智核平台 SaaS 订阅服务分级定价与功能适配表</w:t>
      </w:r>
      <w:bookmarkEnd w:id="56"/>
    </w:p>
    <w:tbl>
      <w:tblPr>
        <w:tblStyle w:val="13"/>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06"/>
        <w:gridCol w:w="2435"/>
        <w:gridCol w:w="3392"/>
        <w:gridCol w:w="2211"/>
      </w:tblGrid>
      <w:tr w14:paraId="78B3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06" w:type="dxa"/>
            <w:tcBorders>
              <w:top w:val="single" w:color="000000" w:sz="12" w:space="0"/>
              <w:left w:val="nil"/>
              <w:bottom w:val="single" w:color="000000" w:sz="4" w:space="0"/>
              <w:right w:val="nil"/>
              <w:tl2br w:val="nil"/>
            </w:tcBorders>
            <w:shd w:val="clear" w:color="auto" w:fill="auto"/>
            <w:vAlign w:val="center"/>
          </w:tcPr>
          <w:p w14:paraId="0BCC8165">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themeColor="dark1"/>
                <w:kern w:val="24"/>
                <w:sz w:val="24"/>
                <w:szCs w:val="24"/>
                <w:lang w:val="en-US" w:eastAsia="zh-CN" w:bidi="ar-SA"/>
                <w14:textFill>
                  <w14:solidFill>
                    <w14:schemeClr w14:val="dk1"/>
                  </w14:solidFill>
                </w14:textFill>
              </w:rPr>
            </w:pPr>
            <w:r>
              <w:rPr>
                <w:rFonts w:hint="eastAsia" w:ascii="宋体" w:hAnsi="宋体" w:eastAsia="宋体" w:cs="宋体"/>
                <w:b w:val="0"/>
                <w:bCs/>
                <w:i w:val="0"/>
                <w:iCs w:val="0"/>
                <w:color w:val="000000" w:themeColor="dark1"/>
                <w:kern w:val="0"/>
                <w:sz w:val="24"/>
                <w:szCs w:val="24"/>
                <w:lang w:bidi="ar"/>
                <w14:textFill>
                  <w14:solidFill>
                    <w14:schemeClr w14:val="dk1"/>
                  </w14:solidFill>
                </w14:textFill>
              </w:rPr>
              <w:t>版本</w:t>
            </w:r>
          </w:p>
        </w:tc>
        <w:tc>
          <w:tcPr>
            <w:tcW w:w="2435" w:type="dxa"/>
            <w:tcBorders>
              <w:top w:val="single" w:color="000000" w:sz="12" w:space="0"/>
              <w:left w:val="nil"/>
              <w:bottom w:val="single" w:color="000000" w:sz="4" w:space="0"/>
              <w:right w:val="nil"/>
            </w:tcBorders>
            <w:shd w:val="clear" w:color="auto" w:fill="auto"/>
            <w:vAlign w:val="center"/>
          </w:tcPr>
          <w:p w14:paraId="7EEBF0B0">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themeColor="dark1"/>
                <w:kern w:val="24"/>
                <w:sz w:val="24"/>
                <w:szCs w:val="24"/>
                <w:lang w:val="en-US" w:eastAsia="zh-CN" w:bidi="ar-SA"/>
                <w14:textFill>
                  <w14:solidFill>
                    <w14:schemeClr w14:val="dk1"/>
                  </w14:solidFill>
                </w14:textFill>
              </w:rPr>
            </w:pPr>
            <w:r>
              <w:rPr>
                <w:rFonts w:hint="eastAsia" w:ascii="宋体" w:hAnsi="宋体" w:eastAsia="宋体" w:cs="宋体"/>
                <w:b w:val="0"/>
                <w:bCs/>
                <w:i w:val="0"/>
                <w:iCs w:val="0"/>
                <w:color w:val="000000" w:themeColor="dark1"/>
                <w:kern w:val="0"/>
                <w:sz w:val="24"/>
                <w:szCs w:val="24"/>
                <w:lang w:bidi="ar"/>
                <w14:textFill>
                  <w14:solidFill>
                    <w14:schemeClr w14:val="dk1"/>
                  </w14:solidFill>
                </w14:textFill>
              </w:rPr>
              <w:t>价格</w:t>
            </w:r>
          </w:p>
        </w:tc>
        <w:tc>
          <w:tcPr>
            <w:tcW w:w="3392" w:type="dxa"/>
            <w:tcBorders>
              <w:top w:val="single" w:color="000000" w:sz="12" w:space="0"/>
              <w:left w:val="nil"/>
              <w:bottom w:val="single" w:color="000000" w:sz="4" w:space="0"/>
              <w:right w:val="nil"/>
            </w:tcBorders>
            <w:shd w:val="clear" w:color="auto" w:fill="auto"/>
            <w:vAlign w:val="center"/>
          </w:tcPr>
          <w:p w14:paraId="6066C597">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themeColor="dark1"/>
                <w:kern w:val="24"/>
                <w:sz w:val="24"/>
                <w:szCs w:val="24"/>
                <w:lang w:val="en-US" w:eastAsia="zh-CN" w:bidi="ar-SA"/>
                <w14:textFill>
                  <w14:solidFill>
                    <w14:schemeClr w14:val="dk1"/>
                  </w14:solidFill>
                </w14:textFill>
              </w:rPr>
            </w:pPr>
            <w:r>
              <w:rPr>
                <w:rFonts w:hint="eastAsia" w:ascii="宋体" w:hAnsi="宋体" w:eastAsia="宋体" w:cs="宋体"/>
                <w:b w:val="0"/>
                <w:bCs/>
                <w:i w:val="0"/>
                <w:iCs w:val="0"/>
                <w:color w:val="000000" w:themeColor="dark1"/>
                <w:kern w:val="0"/>
                <w:sz w:val="24"/>
                <w:szCs w:val="24"/>
                <w:lang w:bidi="ar"/>
                <w14:textFill>
                  <w14:solidFill>
                    <w14:schemeClr w14:val="dk1"/>
                  </w14:solidFill>
                </w14:textFill>
              </w:rPr>
              <w:t>核心功能</w:t>
            </w:r>
          </w:p>
        </w:tc>
        <w:tc>
          <w:tcPr>
            <w:tcW w:w="2211" w:type="dxa"/>
            <w:tcBorders>
              <w:top w:val="single" w:color="000000" w:sz="12" w:space="0"/>
              <w:left w:val="nil"/>
              <w:bottom w:val="single" w:color="000000" w:sz="4" w:space="0"/>
              <w:right w:val="nil"/>
            </w:tcBorders>
            <w:shd w:val="clear" w:color="auto" w:fill="auto"/>
            <w:vAlign w:val="center"/>
          </w:tcPr>
          <w:p w14:paraId="6DDF1BD7">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themeColor="dark1"/>
                <w:kern w:val="24"/>
                <w:sz w:val="24"/>
                <w:szCs w:val="24"/>
                <w:lang w:val="en-US" w:eastAsia="zh-CN" w:bidi="ar-SA"/>
                <w14:textFill>
                  <w14:solidFill>
                    <w14:schemeClr w14:val="dk1"/>
                  </w14:solidFill>
                </w14:textFill>
              </w:rPr>
            </w:pPr>
            <w:r>
              <w:rPr>
                <w:rFonts w:hint="eastAsia" w:ascii="宋体" w:hAnsi="宋体" w:eastAsia="宋体" w:cs="宋体"/>
                <w:b w:val="0"/>
                <w:bCs/>
                <w:i w:val="0"/>
                <w:iCs w:val="0"/>
                <w:color w:val="000000" w:themeColor="dark1"/>
                <w:kern w:val="0"/>
                <w:sz w:val="24"/>
                <w:szCs w:val="24"/>
                <w:lang w:bidi="ar"/>
                <w14:textFill>
                  <w14:solidFill>
                    <w14:schemeClr w14:val="dk1"/>
                  </w14:solidFill>
                </w14:textFill>
              </w:rPr>
              <w:t>适配对象</w:t>
            </w:r>
          </w:p>
        </w:tc>
      </w:tr>
      <w:tr w14:paraId="5197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06" w:type="dxa"/>
            <w:tcBorders>
              <w:top w:val="single" w:color="000000" w:sz="4" w:space="0"/>
              <w:left w:val="nil"/>
              <w:bottom w:val="nil"/>
              <w:right w:val="nil"/>
            </w:tcBorders>
            <w:shd w:val="clear" w:color="auto" w:fill="auto"/>
            <w:vAlign w:val="center"/>
          </w:tcPr>
          <w:p w14:paraId="799C1BD9">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基础版</w:t>
            </w:r>
          </w:p>
        </w:tc>
        <w:tc>
          <w:tcPr>
            <w:tcW w:w="2435" w:type="dxa"/>
            <w:tcBorders>
              <w:top w:val="single" w:color="000000" w:sz="4" w:space="0"/>
              <w:left w:val="nil"/>
              <w:bottom w:val="nil"/>
              <w:right w:val="nil"/>
            </w:tcBorders>
            <w:shd w:val="clear" w:color="auto" w:fill="auto"/>
            <w:vAlign w:val="center"/>
          </w:tcPr>
          <w:p w14:paraId="45324863">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永久免费</w:t>
            </w:r>
          </w:p>
        </w:tc>
        <w:tc>
          <w:tcPr>
            <w:tcW w:w="3392" w:type="dxa"/>
            <w:tcBorders>
              <w:top w:val="single" w:color="000000" w:sz="4" w:space="0"/>
              <w:left w:val="nil"/>
              <w:bottom w:val="nil"/>
              <w:right w:val="nil"/>
            </w:tcBorders>
            <w:shd w:val="clear" w:color="auto" w:fill="auto"/>
            <w:vAlign w:val="center"/>
          </w:tcPr>
          <w:p w14:paraId="1070BCA3">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每月3次碳核算+1份标准合规报告</w:t>
            </w:r>
          </w:p>
        </w:tc>
        <w:tc>
          <w:tcPr>
            <w:tcW w:w="2211" w:type="dxa"/>
            <w:tcBorders>
              <w:top w:val="single" w:color="000000" w:sz="4" w:space="0"/>
              <w:left w:val="nil"/>
              <w:bottom w:val="nil"/>
              <w:right w:val="nil"/>
            </w:tcBorders>
            <w:shd w:val="clear" w:color="auto" w:fill="auto"/>
            <w:vAlign w:val="center"/>
          </w:tcPr>
          <w:p w14:paraId="2F77E7EC">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种子用户，意向试用的中小电商</w:t>
            </w:r>
          </w:p>
        </w:tc>
      </w:tr>
      <w:tr w14:paraId="1A27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06" w:type="dxa"/>
            <w:tcBorders>
              <w:top w:val="nil"/>
              <w:left w:val="nil"/>
              <w:bottom w:val="nil"/>
              <w:right w:val="nil"/>
            </w:tcBorders>
            <w:shd w:val="clear" w:color="auto" w:fill="auto"/>
            <w:vAlign w:val="center"/>
          </w:tcPr>
          <w:p w14:paraId="42E6BCB1">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标准版</w:t>
            </w:r>
          </w:p>
        </w:tc>
        <w:tc>
          <w:tcPr>
            <w:tcW w:w="2435" w:type="dxa"/>
            <w:tcBorders>
              <w:top w:val="nil"/>
              <w:left w:val="nil"/>
              <w:bottom w:val="nil"/>
              <w:right w:val="nil"/>
            </w:tcBorders>
            <w:shd w:val="clear" w:color="auto" w:fill="auto"/>
            <w:vAlign w:val="center"/>
          </w:tcPr>
          <w:p w14:paraId="57B29D4C">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999元/年</w:t>
            </w:r>
          </w:p>
        </w:tc>
        <w:tc>
          <w:tcPr>
            <w:tcW w:w="3392" w:type="dxa"/>
            <w:tcBorders>
              <w:top w:val="nil"/>
              <w:left w:val="nil"/>
              <w:bottom w:val="nil"/>
              <w:right w:val="nil"/>
            </w:tcBorders>
            <w:shd w:val="clear" w:color="auto" w:fill="auto"/>
            <w:vAlign w:val="center"/>
          </w:tcPr>
          <w:p w14:paraId="638E6BA2">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全量ESG评分、多电商平台数据同步、绿色金融产品匹配、绿色商家申报模板</w:t>
            </w:r>
          </w:p>
        </w:tc>
        <w:tc>
          <w:tcPr>
            <w:tcW w:w="2211" w:type="dxa"/>
            <w:tcBorders>
              <w:top w:val="nil"/>
              <w:left w:val="nil"/>
              <w:bottom w:val="nil"/>
              <w:right w:val="nil"/>
            </w:tcBorders>
            <w:shd w:val="clear" w:color="auto" w:fill="auto"/>
            <w:vAlign w:val="center"/>
          </w:tcPr>
          <w:p w14:paraId="75C707F1">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单平台经营的中小电商</w:t>
            </w:r>
          </w:p>
        </w:tc>
      </w:tr>
      <w:tr w14:paraId="2F5E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06" w:type="dxa"/>
            <w:tcBorders>
              <w:top w:val="nil"/>
              <w:left w:val="nil"/>
              <w:bottom w:val="single" w:color="000000" w:sz="12" w:space="0"/>
              <w:right w:val="nil"/>
            </w:tcBorders>
            <w:shd w:val="clear" w:color="auto" w:fill="auto"/>
            <w:vAlign w:val="center"/>
          </w:tcPr>
          <w:p w14:paraId="7ECEFBCA">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高级版</w:t>
            </w:r>
          </w:p>
        </w:tc>
        <w:tc>
          <w:tcPr>
            <w:tcW w:w="2435" w:type="dxa"/>
            <w:tcBorders>
              <w:top w:val="nil"/>
              <w:left w:val="nil"/>
              <w:bottom w:val="single" w:color="000000" w:sz="12" w:space="0"/>
              <w:right w:val="nil"/>
            </w:tcBorders>
            <w:shd w:val="clear" w:color="auto" w:fill="auto"/>
            <w:vAlign w:val="center"/>
          </w:tcPr>
          <w:p w14:paraId="7D3D3DFB">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2999元/年</w:t>
            </w:r>
          </w:p>
        </w:tc>
        <w:tc>
          <w:tcPr>
            <w:tcW w:w="3392" w:type="dxa"/>
            <w:tcBorders>
              <w:top w:val="nil"/>
              <w:left w:val="nil"/>
              <w:bottom w:val="single" w:color="000000" w:sz="12" w:space="0"/>
              <w:right w:val="nil"/>
            </w:tcBorders>
            <w:shd w:val="clear" w:color="auto" w:fill="auto"/>
            <w:vAlign w:val="center"/>
          </w:tcPr>
          <w:p w14:paraId="2C1088C6">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API接口对接、定制化报告编制、专属客服响应、年度碳效诊断分析、跨平台数据归集</w:t>
            </w:r>
          </w:p>
        </w:tc>
        <w:tc>
          <w:tcPr>
            <w:tcW w:w="2211" w:type="dxa"/>
            <w:tcBorders>
              <w:top w:val="nil"/>
              <w:left w:val="nil"/>
              <w:bottom w:val="single" w:color="000000" w:sz="12" w:space="0"/>
              <w:right w:val="nil"/>
            </w:tcBorders>
            <w:shd w:val="clear" w:color="auto" w:fill="auto"/>
            <w:vAlign w:val="center"/>
          </w:tcPr>
          <w:p w14:paraId="545D9C27">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i w:val="0"/>
                <w:iCs w:val="0"/>
                <w:color w:val="000000"/>
                <w:kern w:val="24"/>
                <w:sz w:val="24"/>
                <w:szCs w:val="24"/>
                <w:lang w:val="en-US" w:eastAsia="zh-CN" w:bidi="ar-SA"/>
              </w:rPr>
            </w:pPr>
            <w:r>
              <w:rPr>
                <w:rFonts w:hint="eastAsia" w:ascii="宋体" w:hAnsi="宋体" w:eastAsia="宋体" w:cs="宋体"/>
                <w:b w:val="0"/>
                <w:bCs/>
                <w:i w:val="0"/>
                <w:iCs w:val="0"/>
                <w:color w:val="000000"/>
                <w:kern w:val="0"/>
                <w:sz w:val="24"/>
                <w:szCs w:val="24"/>
                <w:lang w:bidi="ar"/>
              </w:rPr>
              <w:t>多平台经营、规模较大的电商商家</w:t>
            </w:r>
          </w:p>
        </w:tc>
      </w:tr>
    </w:tbl>
    <w:p w14:paraId="0E06B72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标准版是中小电商实现ESG价值转化的核心入口。它不仅能生成满足平台绿色商家认证、政府补贴申报及绿色融资对接的合规ESG报告，还支持多店铺、多平台数据的统一同步管理，彻底解决了商家在跨平台经营中数据割裂、合规材料不达标、融资无有效支撑的痛点，是商家从“被动合规”转向“主动利用ESG价值”的关键一步。</w:t>
      </w:r>
    </w:p>
    <w:p w14:paraId="198B5B3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高级版则是为规模化、精细化运营的电商企业打造的深度赋能方案。通过开放API接口，实现与企业内部各系统的批量自动化数据对接，大幅提升ESG管理效率；年度深度碳效诊断服务则为企业提供精准的减碳路径与成本优化方案；同时，专属服务SLA保障了企业在关键合规与融资节点的响应速度，是企业实现ESG管理专业化、高效化、定制化的核心支撑。</w:t>
      </w:r>
    </w:p>
    <w:p w14:paraId="000552C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提供的各版本服务并非固定门槛，而是根据电商企业的发展阶段、经营规模与实际需求灵活适配的解决方案。初创型电商可从免费版起步，逐步验证ESG管理价值；随着业务拓展、跨平台经营需求增加，可升级至标准版满足合规与融资核心诉求；当企业进入规模化运营、需要深度优化与高效协同阶段时，再升级至高级版，实现ESG管理与业务发展的深度融合。企业可根据自身经营节奏与目标，自主选择最适配的服务版本，实现成本与价值的最优匹配。</w:t>
      </w:r>
    </w:p>
    <w:p w14:paraId="1068D5B1">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69504" behindDoc="0" locked="0" layoutInCell="1" allowOverlap="1">
            <wp:simplePos x="0" y="0"/>
            <wp:positionH relativeFrom="column">
              <wp:posOffset>0</wp:posOffset>
            </wp:positionH>
            <wp:positionV relativeFrom="paragraph">
              <wp:posOffset>11430</wp:posOffset>
            </wp:positionV>
            <wp:extent cx="5615940" cy="2846070"/>
            <wp:effectExtent l="9525" t="9525" r="13335" b="14605"/>
            <wp:wrapTopAndBottom/>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9"/>
                    <a:srcRect t="7081"/>
                    <a:stretch>
                      <a:fillRect/>
                    </a:stretch>
                  </pic:blipFill>
                  <pic:spPr>
                    <a:xfrm>
                      <a:off x="0" y="0"/>
                      <a:ext cx="5615940" cy="2846070"/>
                    </a:xfrm>
                    <a:prstGeom prst="rect">
                      <a:avLst/>
                    </a:prstGeom>
                    <a:noFill/>
                    <a:ln w="9525">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10</w:t>
      </w:r>
      <w:r>
        <w:rPr>
          <w:rFonts w:hint="eastAsia" w:asciiTheme="majorEastAsia" w:hAnsiTheme="majorEastAsia" w:eastAsiaTheme="majorEastAsia" w:cstheme="majorEastAsia"/>
          <w:b/>
          <w:bCs/>
        </w:rPr>
        <w:fldChar w:fldCharType="end"/>
      </w:r>
      <w:bookmarkStart w:id="57" w:name="_Toc25720"/>
      <w:r>
        <w:rPr>
          <w:rFonts w:hint="eastAsia" w:asciiTheme="majorEastAsia" w:hAnsiTheme="majorEastAsia" w:eastAsiaTheme="majorEastAsia" w:cstheme="majorEastAsia"/>
          <w:b/>
          <w:bCs/>
          <w:lang w:eastAsia="zh-CN"/>
        </w:rPr>
        <w:t xml:space="preserve"> 商业模式与收入流生态循环图</w:t>
      </w:r>
      <w:bookmarkEnd w:id="57"/>
    </w:p>
    <w:p w14:paraId="26A3832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58" w:name="_Toc25886"/>
      <w:r>
        <w:rPr>
          <w:rFonts w:hint="eastAsia" w:ascii="黑体" w:hAnsi="黑体" w:eastAsia="黑体" w:cs="黑体"/>
          <w:lang w:val="en-US" w:eastAsia="zh-CN"/>
        </w:rPr>
        <w:t>4.2.2增值服务收入（高附加值营收）</w:t>
      </w:r>
      <w:bookmarkEnd w:id="58"/>
    </w:p>
    <w:p w14:paraId="6C6BAC4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围绕电商商家深度需求，提供定制化专业服务：</w:t>
      </w:r>
    </w:p>
    <w:p w14:paraId="1090B24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ESG合规咨询包：1999元/次，提供报告审核修改、平台绿色认证申报指导、政策合规答疑等服务，解决商家合规实操难题；</w:t>
      </w:r>
    </w:p>
    <w:p w14:paraId="77B82BC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碳效优化定制方案：按电商店铺规模与品类定价5000-20000元/套，结合订单、物流、包装数据输出减碳路径，助力商家降低能耗成本、提升绿色评级；</w:t>
      </w:r>
    </w:p>
    <w:p w14:paraId="48B3D83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培训与认证服务：联合中国中小企业协会、地方电商产业园开展电商ESG合规培训，收取培训服务费，颁发行业认可的合规培训证书，拓展ToB服务边界。</w:t>
      </w:r>
    </w:p>
    <w:p w14:paraId="6154F63F">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59" w:name="_Toc24795"/>
      <w:r>
        <w:rPr>
          <w:rFonts w:hint="eastAsia" w:ascii="黑体" w:hAnsi="黑体" w:eastAsia="黑体" w:cs="黑体"/>
          <w:lang w:val="en-US" w:eastAsia="zh-CN"/>
        </w:rPr>
        <w:t>4.2.3金融对接佣金收入（生态变现营收）</w:t>
      </w:r>
      <w:bookmarkEnd w:id="59"/>
    </w:p>
    <w:p w14:paraId="2ED3025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依托国内绿色金融市场的高速发展红利，搭建金融机构与电商中小企业的绿色融资精准对接桥梁，成为连接双方的专业服务枢纽。平台深度整合国有商业银行、股份制银行、地方农商行及绿色产业基金的绿色信贷、绿色保险、碳减排质押融资、供应链绿色金融等多元产品，构建标准化绿色金融产品池，并基于电商商家 ESG 合规数据与经营画像实现智能匹配推荐。当平台为电商商家成功对接并落地绿色融资产品后，按照融资实际到账额度的 1%-3% 向合作金融机构收取服务佣金，佣金比例根据融资产品类型、额度规模及合作深度动态调整。与合作金融机构签订长期分润协议，建立标准化、可持续的绿色金融推荐返佣长效机制，同时针对优质合规商家推出绿色融资快车道服务，提升融资对接效率与成单率，持续放大金融对接佣金收入规模，共享绿色金融产业发展红利。</w:t>
      </w:r>
    </w:p>
    <w:p w14:paraId="1BFE418A">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60" w:name="_Toc11708"/>
      <w:r>
        <w:rPr>
          <w:rFonts w:hint="eastAsia" w:ascii="黑体" w:hAnsi="黑体" w:eastAsia="黑体" w:cs="黑体"/>
          <w:b w:val="0"/>
          <w:bCs w:val="0"/>
          <w:sz w:val="28"/>
          <w:szCs w:val="240"/>
          <w:lang w:val="en-US" w:eastAsia="zh-CN"/>
        </w:rPr>
        <w:t>4.3平台生态系统</w:t>
      </w:r>
      <w:bookmarkEnd w:id="60"/>
    </w:p>
    <w:p w14:paraId="0D799C4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1" w:name="_Toc27007"/>
      <w:r>
        <w:rPr>
          <w:rFonts w:hint="eastAsia" w:ascii="黑体" w:hAnsi="黑体" w:eastAsia="黑体" w:cs="黑体"/>
          <w:lang w:val="en-US" w:eastAsia="zh-CN"/>
        </w:rPr>
        <w:t>4.3.1用户端生态</w:t>
      </w:r>
      <w:bookmarkEnd w:id="61"/>
    </w:p>
    <w:p w14:paraId="5818704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聚焦核心用户+延伸用户的分层用户体系，精准覆盖电商绿色生态全链路参与主体。核心用户为淘宝、京东、拼多多、抖音电商等全平台中小电商商家（年营收500万以下主体），是平台服务的核心载体，覆盖全品类、各区域的电商小微经营主体；延伸用户包括电商供应链包装企业、第三方仓储物流企业、电商产业带小微生产商，此类主体为电商商家ESG管理的重要上下游伙伴，平台为其提供适配的轻量化ESG核算与碳管理服务，实现电商产业链绿色化协同发展，同时进一步扩大平台用户规模，提升生态覆盖度。</w:t>
      </w:r>
    </w:p>
    <w:p w14:paraId="603CD08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2" w:name="_Toc26356"/>
      <w:r>
        <w:rPr>
          <w:rFonts w:hint="eastAsia" w:ascii="黑体" w:hAnsi="黑体" w:eastAsia="黑体" w:cs="黑体"/>
          <w:lang w:val="en-US" w:eastAsia="zh-CN"/>
        </w:rPr>
        <w:t>4.3.2合作端生态</w:t>
      </w:r>
      <w:bookmarkEnd w:id="62"/>
    </w:p>
    <w:p w14:paraId="66C6FE0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构建三方联动的深度合作体系，整合行业优质资源，为平台服务提供全方位支撑，实现资源互补、价值共生。与淘宝、京东、拼多多、抖音电商等头部电商平台达成生态合作，获取商家服务入口、绿色商家认证数据对接权限，实现平台 ESG 数据与电商平台认证体系的互通互认，助力商家快速完成绿色商家申报。同时对接顺丰、京东物流、中通、圆通等主流第三方物流企业，获取物流运输里程、碳排放因子等核心数据，完善电商物流环节碳排放核算口径，提升碳核算数据的准确性与专业性。与国有商业银行、股份制银行、地方农商行、绿色产业基金建立深度合作，接入绿色金融产品池，打通绿色融资审批数据直连通道，实现商家 ESG 数据与金融机构授信审批体系的精准对接。</w:t>
      </w:r>
    </w:p>
    <w:p w14:paraId="42E8C320">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3" w:name="_Toc21636"/>
      <w:r>
        <w:rPr>
          <w:rFonts w:hint="eastAsia" w:ascii="黑体" w:hAnsi="黑体" w:eastAsia="黑体" w:cs="黑体"/>
          <w:lang w:val="en-US" w:eastAsia="zh-CN"/>
        </w:rPr>
        <w:t>4.3.3数据端生态</w:t>
      </w:r>
      <w:bookmarkEnd w:id="63"/>
    </w:p>
    <w:p w14:paraId="63691E9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以数据资产化为核心，构建电商行业专属的核心数据资产库，为平台全流程服务提供底层数据支撑，同时形成平台核心竞争壁垒。数据资产库包含四大核心模块。针对电商包装、物流、仓储、订单履约等核心场景，建立动态更新的碳排放因子数据库，适配不同品类、不同物流方式、不同区域的碳核算需求。实时整合国家、地方及各电商平台的ESG披露政策、绿色认证标准与补贴申报要求，实现政策的智能推送与解读。收录各类绿色金融产品的申请条件、授信额度、利率水平、审批流程等信息，实现产品与商家的智能匹配。沉淀平台商家的 ESG 核算数据、评分结果、合规报告等信息，构建商家ESG信用画像，为金融机构授信、电商平台绿色认证提供数据支撑。四大数据库实现实时更新、动态优化，基于大数据分析持续迭代算法模型，提升平台服务的精准度与效率。</w:t>
      </w:r>
    </w:p>
    <w:p w14:paraId="2E0FB157">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64" w:name="_Toc12663"/>
      <w:r>
        <w:rPr>
          <w:rFonts w:hint="eastAsia" w:ascii="黑体" w:hAnsi="黑体" w:eastAsia="黑体" w:cs="黑体"/>
          <w:b w:val="0"/>
          <w:bCs w:val="0"/>
          <w:sz w:val="28"/>
          <w:szCs w:val="240"/>
          <w:lang w:val="en-US" w:eastAsia="zh-CN"/>
        </w:rPr>
        <w:t>4.4商业模式细分</w:t>
      </w:r>
      <w:bookmarkEnd w:id="64"/>
    </w:p>
    <w:p w14:paraId="1497682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项目基于电商中小企业的核心痛点与行业发展趋势，融合客户需求导向、全产业链服务、利润分层设计、数据价值挖掘四大核心思路，打造四大商业模式细分体系，各体系相互支撑、协同落地，实现平台可持续发展与价值最大化。</w:t>
      </w:r>
    </w:p>
    <w:p w14:paraId="00240801">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5" w:name="_Toc25446"/>
      <w:r>
        <w:rPr>
          <w:rFonts w:hint="eastAsia" w:ascii="黑体" w:hAnsi="黑体" w:eastAsia="黑体" w:cs="黑体"/>
          <w:lang w:val="en-US" w:eastAsia="zh-CN"/>
        </w:rPr>
        <w:t>4.4.1客户解决方案模式</w:t>
      </w:r>
      <w:bookmarkEnd w:id="65"/>
    </w:p>
    <w:p w14:paraId="2EE7DAE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针对电商中小企业普遍存在的ESG 合规成本高、专业能力弱、融资渠道窄三大核心痛点，推出“ESG合规+绿色融资+平台认证”一站式打包解决方案，实现“痛点全覆盖、服务一站式”。平台将复杂的碳核算、ESG评分、报告编制、绿色融资申请、平台认证申报等流程进行标准化、轻量化改造，转化为线上可视化的简易操作流程，商家无需配备专业ESG人员，即可通过平台完成全流程操作。同时，平台提供定制化的问题解决方案，针对不同品类、不同经营规模的商家制定适配的ESG合规策略，单个商家ESG合规综合成本降低70%以上，彻底解决中小电商“不会做、做不起、对接难”的核心问题，实现客户价值最大化。</w:t>
      </w:r>
    </w:p>
    <w:p w14:paraId="328BA909">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6" w:name="_Toc1587"/>
      <w:r>
        <w:rPr>
          <w:rFonts w:hint="eastAsia" w:ascii="黑体" w:hAnsi="黑体" w:eastAsia="黑体" w:cs="黑体"/>
          <w:lang w:val="en-US" w:eastAsia="zh-CN"/>
        </w:rPr>
        <w:t>4.4.2全产业链闭环模式</w:t>
      </w:r>
      <w:bookmarkEnd w:id="66"/>
    </w:p>
    <w:p w14:paraId="2EDE880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以电商中小企业的ESG管理全生命周期为核心，打通电商业务数据采集→订单级碳核算与ESG评分→AIGC合规报告生成→绿色金融智能匹配→碳效优化提升的全产业链服务链路，打造“一站式、无跳转”的服务闭环。商家在平台内可完成从数据上传到碳效优化的全部操作，无需跳转第三方工具或平台，大幅提升操作效率。同时，各服务环节数据互通、动态联动，碳核算数据自动同步至报告生成模块，合规报告数据直接对接绿色融资模块，融资反馈数据反向指导碳效优化模块，形成“数据 - 服务 - 价值”的正向循环。通过全产业链闭环服务，大幅提升用户体验与粘性，延长用户生命周期价值（LTV），构建平台核心用户壁垒。</w:t>
      </w:r>
    </w:p>
    <w:p w14:paraId="60AA8A13">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7" w:name="_Toc31539"/>
      <w:r>
        <w:rPr>
          <w:rFonts w:hint="eastAsia" w:ascii="黑体" w:hAnsi="黑体" w:eastAsia="黑体" w:cs="黑体"/>
          <w:lang w:val="en-US" w:eastAsia="zh-CN"/>
        </w:rPr>
        <w:t>4.4.3专业化利润分层模式</w:t>
      </w:r>
      <w:bookmarkEnd w:id="67"/>
    </w:p>
    <w:p w14:paraId="3E7590A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基于平台免费+分级付费的产品体系，实施基础服务引流、标准化服务稳流、高附加值服务盈利的专业化利润分层策略，兼顾用户规模扩张与盈利水平提升，实现平台现金流的稳定与可持续增长。</w:t>
      </w:r>
    </w:p>
    <w:p w14:paraId="62E07D60">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基础服务引流：</w:t>
      </w:r>
      <w:r>
        <w:rPr>
          <w:rFonts w:hint="eastAsia" w:asciiTheme="minorEastAsia" w:hAnsiTheme="minorEastAsia" w:eastAsiaTheme="minorEastAsia" w:cstheme="minorEastAsia"/>
          <w:lang w:val="en-US" w:eastAsia="zh-CN"/>
        </w:rPr>
        <w:t>通过永久免费的基础版SaaS工具，降低中小电商的试用门槛，快速获取海量种子用户，完成市场初期的用户积累与品牌曝光；</w:t>
      </w:r>
    </w:p>
    <w:p w14:paraId="3B87705E">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标准化服务稳流：</w:t>
      </w:r>
      <w:r>
        <w:rPr>
          <w:rFonts w:hint="eastAsia" w:asciiTheme="minorEastAsia" w:hAnsiTheme="minorEastAsia" w:eastAsiaTheme="minorEastAsia" w:cstheme="minorEastAsia"/>
          <w:lang w:val="en-US" w:eastAsia="zh-CN"/>
        </w:rPr>
        <w:t>以标准版、高级版SaaS订阅收入为核心，为平台带来稳定、持续的现金流，覆盖平台日常运营与技术研发成本，成为平台盈利的基础盘；</w:t>
      </w:r>
    </w:p>
    <w:p w14:paraId="77E5432A">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高附加值服务盈利：</w:t>
      </w:r>
      <w:r>
        <w:rPr>
          <w:rFonts w:hint="eastAsia" w:asciiTheme="minorEastAsia" w:hAnsiTheme="minorEastAsia" w:eastAsiaTheme="minorEastAsia" w:cstheme="minorEastAsia"/>
          <w:lang w:val="en-US" w:eastAsia="zh-CN"/>
        </w:rPr>
        <w:t>依托ESG合规咨询包、碳效优化定制方案、培训与认证服务等增值服务，以及金融对接佣金收入，为平台带来超额利润，同时提升平台的专业服务能力与行业竞争力。通过利润分层设计，实现“海量用户基础 + 稳定现金流 + 超额利润增长点”的盈利结构，适配平台不同发展阶段的盈利需求。</w:t>
      </w:r>
    </w:p>
    <w:p w14:paraId="2E2810B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68" w:name="_Toc11882"/>
      <w:r>
        <w:rPr>
          <w:rFonts w:hint="eastAsia" w:ascii="黑体" w:hAnsi="黑体" w:eastAsia="黑体" w:cs="黑体"/>
          <w:lang w:val="en-US" w:eastAsia="zh-CN"/>
        </w:rPr>
        <w:t>4.4.4大数据资产变现模式</w:t>
      </w:r>
      <w:bookmarkEnd w:id="68"/>
    </w:p>
    <w:p w14:paraId="6B98F68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以平台长期运营沉淀的电商行业ESG与碳排放数据为核心，打造数据资产二次变现的长期盈利模式，挖掘数据的深层价值，实现平台盈利的多元化与可持续性。平台通过全流程服务，持续沉淀各品类、各区域、各经营规模电商商家的ESG核算数据、碳排放数据、ESG信用画像、绿色融资数据等核心信息，构建国内领先的电商行业绿色发展数据库。基于该数据库，为不同主体提供定制化的数据服务。</w:t>
      </w:r>
    </w:p>
    <w:p w14:paraId="7CC74E83">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面向政府部门：</w:t>
      </w:r>
      <w:r>
        <w:rPr>
          <w:rFonts w:hint="eastAsia" w:asciiTheme="minorEastAsia" w:hAnsiTheme="minorEastAsia" w:eastAsiaTheme="minorEastAsia" w:cstheme="minorEastAsia"/>
          <w:lang w:val="en-US" w:eastAsia="zh-CN"/>
        </w:rPr>
        <w:t>提供电商行业碳排放监测数据、绿色发展趋势分析报告，为政府制定电商行业绿色发展政策、碳减排目标提供数据支撑，收取政务数据服务费用；</w:t>
      </w:r>
    </w:p>
    <w:p w14:paraId="59B9A36A">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面向投资机构：</w:t>
      </w:r>
      <w:r>
        <w:rPr>
          <w:rFonts w:hint="eastAsia" w:asciiTheme="minorEastAsia" w:hAnsiTheme="minorEastAsia" w:eastAsiaTheme="minorEastAsia" w:cstheme="minorEastAsia"/>
          <w:lang w:val="en-US" w:eastAsia="zh-CN"/>
        </w:rPr>
        <w:t>提供电商企业ESG尽调数据报告、绿色投资标的筛选服务，为投资机构的绿色投资决策提供数据支持，收取专业数据咨询费用；</w:t>
      </w:r>
    </w:p>
    <w:p w14:paraId="292460C1">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面向电商平台：</w:t>
      </w:r>
      <w:r>
        <w:rPr>
          <w:rFonts w:hint="eastAsia" w:asciiTheme="minorEastAsia" w:hAnsiTheme="minorEastAsia" w:eastAsiaTheme="minorEastAsia" w:cstheme="minorEastAsia"/>
          <w:lang w:val="en-US" w:eastAsia="zh-CN"/>
        </w:rPr>
        <w:t>提供商家ESG绿色评级数据支撑，为电商平台的绿色商家认证、流量倾斜、大促报名等提供数据服务，收取数据对接服务费用。通过大数据资产的多场景、多主体变现，打造平台长期盈利增长点，同时进一步提升平台在电商行业绿色发展领域的行业影响力与话语权。</w:t>
      </w:r>
    </w:p>
    <w:p w14:paraId="6B4CEFE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Theme="minorEastAsia" w:hAnsiTheme="minorEastAsia" w:eastAsiaTheme="minorEastAsia" w:cstheme="minorEastAsia"/>
          <w:lang w:val="en-US" w:eastAsia="zh-CN"/>
        </w:rPr>
        <w:sectPr>
          <w:pgSz w:w="11906" w:h="16838"/>
          <w:pgMar w:top="1417" w:right="1531" w:bottom="1417" w:left="1531" w:header="851" w:footer="992" w:gutter="0"/>
          <w:pgNumType w:fmt="decimal"/>
          <w:cols w:space="0" w:num="1"/>
          <w:rtlGutter w:val="0"/>
          <w:docGrid w:type="linesAndChars" w:linePitch="378" w:charSpace="5734"/>
        </w:sectPr>
      </w:pPr>
    </w:p>
    <w:p w14:paraId="58B07006">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69" w:name="_Toc7884"/>
      <w:r>
        <w:rPr>
          <w:rFonts w:hint="eastAsia"/>
          <w:lang w:val="en-US" w:eastAsia="zh-CN"/>
        </w:rPr>
        <w:t>第五章 市场营销策略</w:t>
      </w:r>
      <w:bookmarkEnd w:id="69"/>
    </w:p>
    <w:p w14:paraId="323BA70A">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70" w:name="_Toc11650"/>
      <w:r>
        <w:rPr>
          <w:rFonts w:hint="eastAsia" w:ascii="黑体" w:hAnsi="黑体" w:eastAsia="黑体" w:cs="黑体"/>
          <w:b w:val="0"/>
          <w:bCs w:val="0"/>
          <w:sz w:val="28"/>
          <w:szCs w:val="240"/>
          <w:lang w:val="en-US" w:eastAsia="zh-CN"/>
        </w:rPr>
        <w:t>5.1 PEST宏观环境分析</w:t>
      </w:r>
      <w:bookmarkEnd w:id="70"/>
    </w:p>
    <w:p w14:paraId="42A58A68">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71" w:name="_Toc10236"/>
      <w:r>
        <w:rPr>
          <w:rFonts w:hint="eastAsia" w:ascii="黑体" w:hAnsi="黑体" w:eastAsia="黑体" w:cs="黑体"/>
          <w:lang w:val="en-US" w:eastAsia="zh-CN"/>
        </w:rPr>
        <w:t>5.1.1政治环境（Political）</w:t>
      </w:r>
      <w:bookmarkEnd w:id="71"/>
    </w:p>
    <w:p w14:paraId="1268D79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sz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4090035</wp:posOffset>
            </wp:positionV>
            <wp:extent cx="5615940" cy="2506980"/>
            <wp:effectExtent l="9525" t="9525" r="13335" b="10795"/>
            <wp:wrapTopAndBottom/>
            <wp:docPr id="4" name="图片 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
                    <pic:cNvPicPr>
                      <a:picLocks noChangeAspect="1"/>
                    </pic:cNvPicPr>
                  </pic:nvPicPr>
                  <pic:blipFill>
                    <a:blip r:embed="rId20"/>
                    <a:srcRect t="6643" b="11515"/>
                    <a:stretch>
                      <a:fillRect/>
                    </a:stretch>
                  </pic:blipFill>
                  <pic:spPr>
                    <a:xfrm>
                      <a:off x="0" y="0"/>
                      <a:ext cx="5615940" cy="2506980"/>
                    </a:xfrm>
                    <a:prstGeom prst="rect">
                      <a:avLst/>
                    </a:prstGeom>
                    <a:ln>
                      <a:solidFill>
                        <a:schemeClr val="tx1"/>
                      </a:solidFill>
                    </a:ln>
                  </pic:spPr>
                </pic:pic>
              </a:graphicData>
            </a:graphic>
          </wp:anchor>
        </w:drawing>
      </w:r>
      <w:r>
        <w:rPr>
          <w:rFonts w:hint="eastAsia" w:asciiTheme="minorEastAsia" w:hAnsiTheme="minorEastAsia" w:eastAsiaTheme="minorEastAsia" w:cstheme="minorEastAsia"/>
          <w:lang w:val="en-US" w:eastAsia="zh-CN"/>
        </w:rPr>
        <w:t>2020年9月“双碳”目标的明确提出，标志着我国绿色低碳发展进入战略攻坚阶段，“十四五”规划纲要进一步将其确立为重大战略部署，构建起“国家顶层设计+地方细化落地+机构协同支撑”的多层次制度体系，为电商中小企业 ESG 服务赛道提供了刚性政策支撑。国家层面持续强化政策供给，2023年《关于促进中小企业健康发展的指导意见》首次将ESG能力建设纳入中小企业专项支持政策；2024年生态环境部印发《中小企业环境信息披露简化指南》，针对电商、物流等轻资产服务业推出适配小微企业的轻量化披露模板，将合规成本降低约30%；中国中小企业协会同步发布中小企业ESG信息披露团体标准，明确电商企业包装减碳、物流碳排放、订单绿色履约三大核心披露场景，ESG披露监管口径从自愿引导转向分行业强制落地。地方层面形成差异化激励与约束机制，浙江、广东等电商产业集聚区建立“双碳”专项补贴池，将电商企业ESG表现与政府补贴申领直接挂钩；江苏、山东等省份创新“ESG+场景”绑定模式，将ESG评价结果与电商企业产业园区入驻资格、大促活动报名权限、税收优惠直接挂钩，全面倒逼电商中小企业完成ESG合规管理。同时淘宝、京东、拼多多等头部电商平台都配套相关“绿色商家”认证、减碳订单标识、绿色流量倾斜等平台规则，形成政策落地的约束与激励体系。</w:t>
      </w:r>
    </w:p>
    <w:p w14:paraId="7D98DA59">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11</w:t>
      </w:r>
      <w:r>
        <w:rPr>
          <w:rFonts w:hint="eastAsia" w:asciiTheme="majorEastAsia" w:hAnsiTheme="majorEastAsia" w:eastAsiaTheme="majorEastAsia" w:cstheme="majorEastAsia"/>
          <w:b/>
          <w:bCs/>
        </w:rPr>
        <w:fldChar w:fldCharType="end"/>
      </w:r>
      <w:bookmarkStart w:id="72" w:name="_Toc29147"/>
      <w:r>
        <w:rPr>
          <w:rFonts w:hint="eastAsia" w:asciiTheme="majorEastAsia" w:hAnsiTheme="majorEastAsia" w:eastAsiaTheme="majorEastAsia" w:cstheme="majorEastAsia"/>
          <w:b/>
          <w:bCs/>
          <w:lang w:eastAsia="zh-CN"/>
        </w:rPr>
        <w:t xml:space="preserve"> 中国绿色金融政策演进与约束力强度力时间轴</w:t>
      </w:r>
      <w:bookmarkEnd w:id="72"/>
    </w:p>
    <w:p w14:paraId="0A1186EB">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73" w:name="_Toc12842"/>
      <w:r>
        <w:rPr>
          <w:rFonts w:hint="eastAsia" w:ascii="黑体" w:hAnsi="黑体" w:eastAsia="黑体" w:cs="黑体"/>
          <w:lang w:val="en-US" w:eastAsia="zh-CN"/>
        </w:rPr>
        <w:t>5.1.2经济环境（Economic）</w:t>
      </w:r>
      <w:bookmarkEnd w:id="73"/>
    </w:p>
    <w:p w14:paraId="0C328B5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sz w:val="24"/>
        </w:rPr>
      </w:pPr>
      <w:r>
        <w:rPr>
          <w:rFonts w:hint="eastAsia" w:asciiTheme="minorEastAsia" w:hAnsiTheme="minorEastAsia" w:eastAsiaTheme="minorEastAsia" w:cstheme="minorEastAsia"/>
          <w:lang w:val="en-US" w:eastAsia="zh-CN"/>
        </w:rPr>
        <w:t>绿色消费、绿色供应链、绿色资本形成三重市场合力，全面抬升电商中小企业ESG服务的市场刚需，项目落地具备坚实的经济基础与广阔的市场空</w:t>
      </w:r>
    </w:p>
    <w:p w14:paraId="5DE5616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sz w:val="24"/>
        </w:rPr>
        <w:drawing>
          <wp:anchor distT="0" distB="0" distL="114300" distR="114300" simplePos="0" relativeHeight="251671552" behindDoc="0" locked="0" layoutInCell="1" allowOverlap="1">
            <wp:simplePos x="0" y="0"/>
            <wp:positionH relativeFrom="column">
              <wp:posOffset>0</wp:posOffset>
            </wp:positionH>
            <wp:positionV relativeFrom="paragraph">
              <wp:posOffset>257810</wp:posOffset>
            </wp:positionV>
            <wp:extent cx="5615940" cy="2537460"/>
            <wp:effectExtent l="9525" t="9525" r="13335" b="18415"/>
            <wp:wrapTopAndBottom/>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
                    <pic:cNvPicPr>
                      <a:picLocks noChangeAspect="1"/>
                    </pic:cNvPicPr>
                  </pic:nvPicPr>
                  <pic:blipFill>
                    <a:blip r:embed="rId21"/>
                    <a:srcRect t="6997"/>
                    <a:stretch>
                      <a:fillRect/>
                    </a:stretch>
                  </pic:blipFill>
                  <pic:spPr>
                    <a:xfrm>
                      <a:off x="0" y="0"/>
                      <a:ext cx="5615940" cy="2537460"/>
                    </a:xfrm>
                    <a:prstGeom prst="rect">
                      <a:avLst/>
                    </a:prstGeom>
                    <a:ln>
                      <a:solidFill>
                        <a:schemeClr val="tx1"/>
                      </a:solidFill>
                    </a:ln>
                  </pic:spPr>
                </pic:pic>
              </a:graphicData>
            </a:graphic>
          </wp:anchor>
        </w:drawing>
      </w:r>
      <w:r>
        <w:rPr>
          <w:rFonts w:hint="eastAsia" w:asciiTheme="minorEastAsia" w:hAnsiTheme="minorEastAsia" w:eastAsiaTheme="minorEastAsia" w:cstheme="minorEastAsia"/>
          <w:lang w:val="en-US" w:eastAsia="zh-CN"/>
        </w:rPr>
        <w:t>间。</w:t>
      </w:r>
    </w:p>
    <w:p w14:paraId="429962B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12</w:t>
      </w:r>
      <w:r>
        <w:rPr>
          <w:rFonts w:hint="eastAsia" w:asciiTheme="majorEastAsia" w:hAnsiTheme="majorEastAsia" w:eastAsiaTheme="majorEastAsia" w:cstheme="majorEastAsia"/>
          <w:b/>
          <w:bCs/>
        </w:rPr>
        <w:fldChar w:fldCharType="end"/>
      </w:r>
      <w:bookmarkStart w:id="74" w:name="_Toc15651"/>
      <w:r>
        <w:rPr>
          <w:rFonts w:hint="eastAsia" w:asciiTheme="majorEastAsia" w:hAnsiTheme="majorEastAsia" w:eastAsiaTheme="majorEastAsia" w:cstheme="majorEastAsia"/>
          <w:b/>
          <w:bCs/>
          <w:lang w:eastAsia="zh-CN"/>
        </w:rPr>
        <w:t xml:space="preserve"> SME绿色转型“三重驱动”力学模型图</w:t>
      </w:r>
      <w:bookmarkEnd w:id="74"/>
    </w:p>
    <w:p w14:paraId="48129CD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消费端绿色需求呈现爆发式增长，中华环保联合会2023年调研数据显示，我国居民绿色消费意愿达83.6%，较2018年提升19.8个百分点；主流电商平台数据显示，2021-2024年平台绿色产品销量年均增长率分别达45%、52%、56%、58%，持续保持高速增长态势，其中21-40岁核心消费群体合计占比达79.3%，带有绿色标识的商品转化率较普通商品平均提升12%-18%，绿色消费已成为电商行业确定性增长赛道。</w:t>
      </w:r>
    </w:p>
    <w:p w14:paraId="6907CE5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供应链端建立刚性绿色准入门槛，京东、沃尔玛等企业纷纷将绿色指标纳入供应商管理体系，2024年京东平台减碳订单达1.12亿张，未达绿色标准的中小电商商家订单流失率同比上升22%。</w:t>
      </w:r>
    </w:p>
    <w:p w14:paraId="2D65EAE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drawing>
          <wp:anchor distT="0" distB="0" distL="114300" distR="114300" simplePos="0" relativeHeight="251672576" behindDoc="0" locked="0" layoutInCell="1" allowOverlap="1">
            <wp:simplePos x="0" y="0"/>
            <wp:positionH relativeFrom="column">
              <wp:posOffset>0</wp:posOffset>
            </wp:positionH>
            <wp:positionV relativeFrom="paragraph">
              <wp:posOffset>1446530</wp:posOffset>
            </wp:positionV>
            <wp:extent cx="5615940" cy="1800225"/>
            <wp:effectExtent l="4445" t="4445" r="5715" b="11430"/>
            <wp:wrapTopAndBottom/>
            <wp:docPr id="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Pr>
          <w:rFonts w:hint="eastAsia" w:asciiTheme="minorEastAsia" w:hAnsiTheme="minorEastAsia" w:eastAsiaTheme="minorEastAsia" w:cstheme="minorEastAsia"/>
          <w:lang w:val="en-US" w:eastAsia="zh-CN"/>
        </w:rPr>
        <w:t>资本端持续强化绿色导向，截至2025年 9 月末，我国本外币绿色贷款余额达 43.51 万亿元，较年初增长17.5%，前三季度新增绿色贷款占全部贷款增量的43.9%；中国金融学会绿色金融专业委员会2024、年报告显示，ESG表现优异的中小企业融资成本较行业平均水平低 15%-25%，反之则面临融资额度收紧甚至拒贷的风险，ESG 数据已成为电商中小企业对接资本、获取绿色信贷的核心通行证。</w:t>
      </w:r>
    </w:p>
    <w:p w14:paraId="072B410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13</w:t>
      </w:r>
      <w:r>
        <w:rPr>
          <w:rFonts w:hint="eastAsia" w:asciiTheme="majorEastAsia" w:hAnsiTheme="majorEastAsia" w:eastAsiaTheme="majorEastAsia" w:cstheme="majorEastAsia"/>
          <w:b/>
          <w:bCs/>
        </w:rPr>
        <w:fldChar w:fldCharType="end"/>
      </w:r>
      <w:bookmarkStart w:id="75" w:name="_Toc18569"/>
      <w:r>
        <w:rPr>
          <w:rFonts w:hint="eastAsia" w:asciiTheme="majorEastAsia" w:hAnsiTheme="majorEastAsia" w:eastAsiaTheme="majorEastAsia" w:cstheme="majorEastAsia"/>
          <w:b/>
          <w:bCs/>
          <w:lang w:eastAsia="zh-CN"/>
        </w:rPr>
        <w:t xml:space="preserve"> 2024-2025年绿色信贷增长趋势</w:t>
      </w:r>
      <w:bookmarkEnd w:id="75"/>
    </w:p>
    <w:p w14:paraId="12148F5F">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76" w:name="_Toc7809"/>
      <w:r>
        <w:rPr>
          <w:rFonts w:hint="eastAsia" w:ascii="黑体" w:hAnsi="黑体" w:eastAsia="黑体" w:cs="黑体"/>
          <w:lang w:val="en-US" w:eastAsia="zh-CN"/>
        </w:rPr>
        <w:t>5.1.3社会环境（Social）</w:t>
      </w:r>
      <w:bookmarkEnd w:id="76"/>
    </w:p>
    <w:p w14:paraId="187D798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绿色发展理念深度普及，电商行业转型需求与商家能力短板的矛盾日益凸显，为项目落地提供了充足的社会需求基础与用户土壤。一方面，全民绿色消费理念深入人心，年轻消费群体作为电商消费主力，对绿色商品、绿色商家的偏好持续提升，倒逼电商商家加快绿色转型步伐。另一方面，行业痛点持续凸显，中国人民银行2023年数据显示，82%的中小企业缺乏标准化碳核算与ESG数据管理体系，其中80%以上的中小电商仍面临数据采集散、核算口径乱、报告编制难、融资对接无门的核心痛点；中小企业绿色转型平均合规成本达1.2万元/年，远超中小电商的承受能力，形成“政策热、市场火、企业难”的错位格局，亟需轻量化、低成本的数字化工具破解困境。同时电商行业同质化竞争加剧，绿色运营已成为中小电商突破流量瓶颈、打造品牌差异化的核心路径，进一步放大了ESG管理工具的市场需求。</w:t>
      </w:r>
    </w:p>
    <w:p w14:paraId="5F65F0B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73600" behindDoc="0" locked="0" layoutInCell="1" allowOverlap="1">
            <wp:simplePos x="0" y="0"/>
            <wp:positionH relativeFrom="column">
              <wp:posOffset>0</wp:posOffset>
            </wp:positionH>
            <wp:positionV relativeFrom="paragraph">
              <wp:posOffset>36830</wp:posOffset>
            </wp:positionV>
            <wp:extent cx="5615940" cy="2799080"/>
            <wp:effectExtent l="9525" t="9525" r="13335" b="10795"/>
            <wp:wrapTopAndBottom/>
            <wp:docPr id="6" name="图片 6" descr="b310fc82b6c4bcf7730ee7ad19e1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310fc82b6c4bcf7730ee7ad19e18288"/>
                    <pic:cNvPicPr>
                      <a:picLocks noChangeAspect="1"/>
                    </pic:cNvPicPr>
                  </pic:nvPicPr>
                  <pic:blipFill>
                    <a:blip r:embed="rId12"/>
                    <a:srcRect t="11461"/>
                    <a:stretch>
                      <a:fillRect/>
                    </a:stretch>
                  </pic:blipFill>
                  <pic:spPr>
                    <a:xfrm>
                      <a:off x="0" y="0"/>
                      <a:ext cx="5615940" cy="2799080"/>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14</w:t>
      </w:r>
      <w:r>
        <w:rPr>
          <w:rFonts w:hint="eastAsia" w:asciiTheme="majorEastAsia" w:hAnsiTheme="majorEastAsia" w:eastAsiaTheme="majorEastAsia" w:cstheme="majorEastAsia"/>
          <w:b/>
          <w:bCs/>
        </w:rPr>
        <w:fldChar w:fldCharType="end"/>
      </w:r>
      <w:bookmarkStart w:id="77" w:name="_Toc9345"/>
      <w:r>
        <w:rPr>
          <w:rFonts w:hint="eastAsia" w:asciiTheme="majorEastAsia" w:hAnsiTheme="majorEastAsia" w:eastAsiaTheme="majorEastAsia" w:cstheme="majorEastAsia"/>
          <w:b/>
          <w:bCs/>
          <w:lang w:eastAsia="zh-CN"/>
        </w:rPr>
        <w:t xml:space="preserve"> 2018—2023年我国居民绿色消费意愿变化趋势</w:t>
      </w:r>
      <w:bookmarkEnd w:id="77"/>
    </w:p>
    <w:p w14:paraId="71405E77">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78" w:name="_Toc4550"/>
      <w:r>
        <w:rPr>
          <w:rFonts w:hint="eastAsia" w:ascii="黑体" w:hAnsi="黑体" w:eastAsia="黑体" w:cs="黑体"/>
          <w:lang w:val="en-US" w:eastAsia="zh-CN"/>
        </w:rPr>
        <w:t>5.1.4技术环境（Technological）</w:t>
      </w:r>
      <w:bookmarkEnd w:id="78"/>
    </w:p>
    <w:p w14:paraId="43235AF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b/>
          <w:bCs/>
        </w:rPr>
      </w:pPr>
      <w:r>
        <w:rPr>
          <w:rFonts w:hint="eastAsia" w:asciiTheme="minorEastAsia" w:hAnsiTheme="minorEastAsia" w:eastAsiaTheme="minorEastAsia" w:cstheme="minorEastAsia"/>
          <w:lang w:val="en-US" w:eastAsia="zh-CN"/>
        </w:rPr>
        <w:t>数字技术的成熟落地与规模化商用，为电商中小企业轻量化ESG服务提供了完备的技术支撑，彻底解决了传统模式专业门槛高、人工投入大、适配性差的核心痛点。数据采集与处理技术方面，OCR图文识别、NLP自然语言处理、大数据治理技术已实现规模化商用，基于PaddleOCR搭建的票据识别流程，可对电商物流面单、电费票据、包装采购凭证等高频票据实现精准识别，关键字段识别准确率稳定在高水平，可完成非结构化数据到标准化核算数据的自动转换，完美适配电商商家零散数据的采集需求。产品架构与应用技术方面，云计算SaaS架构成熟，无需本地部署、按需订阅的模式完全匹配电商中小企业轻资产、低成本、快节奏的运营特点；B/S架构无需本地部署，商家可通过PC端或手机随时访问，Vue.js前端框架与Python Django后端框</w:t>
      </w:r>
    </w:p>
    <w:p w14:paraId="5D301CB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b/>
          <w:bCs/>
        </w:rPr>
        <w:drawing>
          <wp:anchor distT="0" distB="0" distL="114300" distR="114300" simplePos="0" relativeHeight="251674624" behindDoc="0" locked="0" layoutInCell="1" allowOverlap="1">
            <wp:simplePos x="0" y="0"/>
            <wp:positionH relativeFrom="column">
              <wp:posOffset>0</wp:posOffset>
            </wp:positionH>
            <wp:positionV relativeFrom="paragraph">
              <wp:posOffset>1450975</wp:posOffset>
            </wp:positionV>
            <wp:extent cx="5615940" cy="2861310"/>
            <wp:effectExtent l="9525" t="9525" r="13335" b="12065"/>
            <wp:wrapTopAndBottom/>
            <wp:docPr id="7" name="图片 7"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1"/>
                    <pic:cNvPicPr>
                      <a:picLocks noChangeAspect="1"/>
                    </pic:cNvPicPr>
                  </pic:nvPicPr>
                  <pic:blipFill>
                    <a:blip r:embed="rId23"/>
                    <a:srcRect t="6599"/>
                    <a:stretch>
                      <a:fillRect/>
                    </a:stretch>
                  </pic:blipFill>
                  <pic:spPr>
                    <a:xfrm>
                      <a:off x="0" y="0"/>
                      <a:ext cx="5615940" cy="2861310"/>
                    </a:xfrm>
                    <a:prstGeom prst="rect">
                      <a:avLst/>
                    </a:prstGeom>
                    <a:ln>
                      <a:solidFill>
                        <a:schemeClr val="tx1"/>
                      </a:solidFill>
                    </a:ln>
                  </pic:spPr>
                </pic:pic>
              </a:graphicData>
            </a:graphic>
          </wp:anchor>
        </w:drawing>
      </w:r>
      <w:r>
        <w:rPr>
          <w:rFonts w:hint="eastAsia" w:asciiTheme="minorEastAsia" w:hAnsiTheme="minorEastAsia" w:eastAsiaTheme="minorEastAsia" w:cstheme="minorEastAsia"/>
          <w:lang w:val="en-US" w:eastAsia="zh-CN"/>
        </w:rPr>
        <w:t>架可实现响应式界面开发与高效业务逻辑处理，PostgreSQL数据库可稳定支撑电商商家海量业务数据的存储与查询，为平台落地提供了成熟的技术载体。AI应用技术方面，大语言模型与 AIGC 技术的成熟落地，实现了ESG合规报告一键生成、定制化优化，可将传统数周的报告编制工作压缩至分钟级；RAG与Text2SQL技术的融合应用，可将平台打造成随问随答的“ESG 数字专家”，大幅降低了电商商家的ESG合规操作门槛。</w:t>
      </w:r>
    </w:p>
    <w:p w14:paraId="0A5E03C5">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15</w:t>
      </w:r>
      <w:r>
        <w:rPr>
          <w:rFonts w:hint="eastAsia" w:asciiTheme="majorEastAsia" w:hAnsiTheme="majorEastAsia" w:eastAsiaTheme="majorEastAsia" w:cstheme="majorEastAsia"/>
          <w:b/>
          <w:bCs/>
        </w:rPr>
        <w:fldChar w:fldCharType="end"/>
      </w:r>
      <w:bookmarkStart w:id="79" w:name="_Toc25909"/>
      <w:r>
        <w:rPr>
          <w:rFonts w:hint="eastAsia" w:asciiTheme="majorEastAsia" w:hAnsiTheme="majorEastAsia" w:eastAsiaTheme="majorEastAsia" w:cstheme="majorEastAsia"/>
          <w:b/>
          <w:bCs/>
          <w:lang w:eastAsia="zh-CN"/>
        </w:rPr>
        <w:t xml:space="preserve"> STP市场定位靶向图</w:t>
      </w:r>
      <w:bookmarkEnd w:id="79"/>
    </w:p>
    <w:p w14:paraId="5809C34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80" w:name="_Toc17478"/>
      <w:r>
        <w:rPr>
          <w:rFonts w:hint="eastAsia" w:ascii="黑体" w:hAnsi="黑体" w:eastAsia="黑体" w:cs="黑体"/>
          <w:b w:val="0"/>
          <w:bCs w:val="0"/>
          <w:sz w:val="28"/>
          <w:szCs w:val="240"/>
          <w:lang w:val="en-US" w:eastAsia="zh-CN"/>
        </w:rPr>
        <w:t>5.2 推广与营销实施计划</w:t>
      </w:r>
      <w:bookmarkEnd w:id="80"/>
    </w:p>
    <w:p w14:paraId="3904B84B">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81" w:name="_Toc10319"/>
      <w:r>
        <w:rPr>
          <w:rFonts w:hint="eastAsia" w:ascii="黑体" w:hAnsi="黑体" w:eastAsia="黑体" w:cs="黑体"/>
          <w:lang w:val="en-US" w:eastAsia="zh-CN"/>
        </w:rPr>
        <w:t>5.2.1 STP战略：精准定位目标市场</w:t>
      </w:r>
      <w:bookmarkEnd w:id="81"/>
    </w:p>
    <w:p w14:paraId="0A339677">
      <w:pPr>
        <w:keepNext w:val="0"/>
        <w:keepLines w:val="0"/>
        <w:pageBreakBefore w:val="0"/>
        <w:widowControl w:val="0"/>
        <w:numPr>
          <w:ilvl w:val="0"/>
          <w:numId w:val="20"/>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市场细分（Segmentation）</w:t>
      </w:r>
    </w:p>
    <w:p w14:paraId="31A4530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基于项目服务场景与企业需求，将目标市场分为三大核心细分领域：</w:t>
      </w:r>
    </w:p>
    <w:p w14:paraId="78C13EE6">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电商生态中小企业：</w:t>
      </w:r>
      <w:r>
        <w:rPr>
          <w:rFonts w:hint="eastAsia" w:asciiTheme="minorEastAsia" w:hAnsiTheme="minorEastAsia" w:eastAsiaTheme="minorEastAsia" w:cstheme="minorEastAsia"/>
          <w:lang w:val="en-US" w:eastAsia="zh-CN"/>
        </w:rPr>
        <w:t>如淘宝、京东、拼多多平台商家，核心需求是满足平台“绿色商家”认证、减碳订单要求，避免合作终止，需高频次、场景化的碳核算（如订单履约、物流包装环节）与ESG报告。</w:t>
      </w:r>
    </w:p>
    <w:p w14:paraId="034C4007">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制造业小微企业：</w:t>
      </w:r>
      <w:r>
        <w:rPr>
          <w:rFonts w:hint="eastAsia" w:asciiTheme="minorEastAsia" w:hAnsiTheme="minorEastAsia" w:eastAsiaTheme="minorEastAsia" w:cstheme="minorEastAsia"/>
          <w:lang w:val="en-US" w:eastAsia="zh-CN"/>
        </w:rPr>
        <w:t>如中小型机械加工、轻工制造企业，核心需求是获取政府绿色技改补贴（如浙江、广东最高500万元补贴）、对接银行绿色信贷，需合规的碳排放数据与ESG评分支撑申报。</w:t>
      </w:r>
    </w:p>
    <w:p w14:paraId="1F4340F3">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供应链配套企业：</w:t>
      </w:r>
      <w:r>
        <w:rPr>
          <w:rFonts w:hint="eastAsia" w:asciiTheme="minorEastAsia" w:hAnsiTheme="minorEastAsia" w:eastAsiaTheme="minorEastAsia" w:cstheme="minorEastAsia"/>
          <w:lang w:val="en-US" w:eastAsia="zh-CN"/>
        </w:rPr>
        <w:t>如为沃尔玛、京东等链主企业提供零部件、包装的供应商，核心需求是满足下游ESG准入门槛，需快速生成标准化ESG报告以保住订单合作。</w:t>
      </w:r>
    </w:p>
    <w:p w14:paraId="11F75F5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目前阶段重点聚焦电商中小企业，其他两类作为后续拓展方向来吸引绿色融资。</w:t>
      </w:r>
    </w:p>
    <w:p w14:paraId="6925F0DC">
      <w:pPr>
        <w:keepNext w:val="0"/>
        <w:keepLines w:val="0"/>
        <w:pageBreakBefore w:val="0"/>
        <w:widowControl w:val="0"/>
        <w:numPr>
          <w:ilvl w:val="0"/>
          <w:numId w:val="20"/>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目标市场选择（Targeting）</w:t>
      </w:r>
    </w:p>
    <w:p w14:paraId="2F97F86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采用“聚焦核心、逐步辐射”策略，首阶段重点攻克电商生态中小企业，理由如下：</w:t>
      </w:r>
    </w:p>
    <w:p w14:paraId="277B9545">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需求迫切：</w:t>
      </w:r>
      <w:r>
        <w:rPr>
          <w:rFonts w:hint="eastAsia" w:asciiTheme="minorEastAsia" w:hAnsiTheme="minorEastAsia" w:eastAsiaTheme="minorEastAsia" w:cstheme="minorEastAsia"/>
          <w:lang w:val="en-US" w:eastAsia="zh-CN"/>
        </w:rPr>
        <w:t>部分大型平台已经推出‘减碳订单’等绿色项目，相关公开报道显示订单规模已达千万级，商家在绿色履约上的压力逐步增加，未达标商家面临订单流失，市场需求刚性。</w:t>
      </w:r>
    </w:p>
    <w:p w14:paraId="37E30F48">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场景适配：</w:t>
      </w:r>
      <w:r>
        <w:rPr>
          <w:rFonts w:hint="eastAsia" w:asciiTheme="minorEastAsia" w:hAnsiTheme="minorEastAsia" w:eastAsiaTheme="minorEastAsia" w:cstheme="minorEastAsia"/>
          <w:lang w:val="en-US" w:eastAsia="zh-CN"/>
        </w:rPr>
        <w:t>项目“订单级碳核算”“物流包装数据采集”功能与电商高频业务高度契合，易快速落地。</w:t>
      </w:r>
    </w:p>
    <w:p w14:paraId="4D0FBC62">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传播性强：</w:t>
      </w:r>
      <w:r>
        <w:rPr>
          <w:rFonts w:hint="eastAsia" w:asciiTheme="minorEastAsia" w:hAnsiTheme="minorEastAsia" w:eastAsiaTheme="minorEastAsia" w:cstheme="minorEastAsia"/>
          <w:lang w:val="en-US" w:eastAsia="zh-CN"/>
        </w:rPr>
        <w:t>电商企业聚集于平台生态，便于通过平台合作实现批量触达，形成口碑扩散。</w:t>
      </w:r>
    </w:p>
    <w:p w14:paraId="572F4DE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对于其他细分如数字化转型起步型，我们并非忽视。在初期资源有限的情况下，我们将其作为次要市场通过口碑和泛推广覆盖。待主要目标市场取得突破后，我们会逐步渗透到这些更广泛的中小微企业群体，提供简化版本满足他们需求。</w:t>
      </w:r>
    </w:p>
    <w:p w14:paraId="02B06561">
      <w:pPr>
        <w:keepNext w:val="0"/>
        <w:keepLines w:val="0"/>
        <w:pageBreakBefore w:val="0"/>
        <w:widowControl w:val="0"/>
        <w:numPr>
          <w:ilvl w:val="0"/>
          <w:numId w:val="20"/>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市场定位（Positioning）</w:t>
      </w:r>
    </w:p>
    <w:p w14:paraId="5127A7F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打造“中小企业绿色经营的轻量化数字工具”，核心定位为：</w:t>
      </w:r>
    </w:p>
    <w:p w14:paraId="4E9AA7F9">
      <w:pPr>
        <w:keepNext w:val="0"/>
        <w:keepLines w:val="0"/>
        <w:pageBreakBefore w:val="0"/>
        <w:widowControl w:val="0"/>
        <w:numPr>
          <w:ilvl w:val="0"/>
          <w:numId w:val="2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差异化价值：</w:t>
      </w:r>
      <w:r>
        <w:rPr>
          <w:rFonts w:hint="eastAsia" w:asciiTheme="minorEastAsia" w:hAnsiTheme="minorEastAsia" w:eastAsiaTheme="minorEastAsia" w:cstheme="minorEastAsia"/>
          <w:lang w:val="en-US" w:eastAsia="zh-CN"/>
        </w:rPr>
        <w:t>相较于市场上针对大型企业的复杂系统，我们的方案轻量易用、接地气，专为中小企业量身打造。我们明白小企业人手少、专业技术弱，所以产品设计上突出傻瓜化操作和本地化支持，就像企业自己的数字化专员在身边指导一样。这种贴心属性将我们与动辄上百万的大型环保软件区隔开来。</w:t>
      </w:r>
    </w:p>
    <w:p w14:paraId="4E9A553E">
      <w:pPr>
        <w:keepNext w:val="0"/>
        <w:keepLines w:val="0"/>
        <w:pageBreakBefore w:val="0"/>
        <w:widowControl w:val="0"/>
        <w:numPr>
          <w:ilvl w:val="0"/>
          <w:numId w:val="2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功能集成：</w:t>
      </w:r>
      <w:r>
        <w:rPr>
          <w:rFonts w:hint="eastAsia" w:asciiTheme="minorEastAsia" w:hAnsiTheme="minorEastAsia" w:eastAsiaTheme="minorEastAsia" w:cstheme="minorEastAsia"/>
          <w:lang w:val="en-US" w:eastAsia="zh-CN"/>
        </w:rPr>
        <w:t>我们定位自己为“一站式”工具——即融合数字化管理和绿色管理两大模块，用户买我们一个产品，相当于既解决了数据上云的问题，又解决了能耗与排放管理的问题，还内置政策申报辅助。这种多合一定位使我们成为独特的市场玩家。</w:t>
      </w:r>
    </w:p>
    <w:p w14:paraId="489BDF5C">
      <w:pPr>
        <w:keepNext w:val="0"/>
        <w:keepLines w:val="0"/>
        <w:pageBreakBefore w:val="0"/>
        <w:widowControl w:val="0"/>
        <w:numPr>
          <w:ilvl w:val="0"/>
          <w:numId w:val="2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伙伴式形象：</w:t>
      </w:r>
      <w:r>
        <w:rPr>
          <w:rFonts w:hint="eastAsia" w:asciiTheme="minorEastAsia" w:hAnsiTheme="minorEastAsia" w:eastAsiaTheme="minorEastAsia" w:cstheme="minorEastAsia"/>
          <w:lang w:val="en-US" w:eastAsia="zh-CN"/>
        </w:rPr>
        <w:t>在品牌形象上，我们不想高高在上地卖软件，而是以“成长伙伴”的姿态出现，用第一人称团队口吻与客户交流。我们定位自己的服务风格为“陪伴式”——当客户使用我们的工具，就像自家请了个数字化+绿色管家。这一形象有助于建立信任，让保守的企业也敢尝试新的东西。</w:t>
      </w:r>
    </w:p>
    <w:p w14:paraId="44217505">
      <w:pPr>
        <w:keepNext w:val="0"/>
        <w:keepLines w:val="0"/>
        <w:pageBreakBefore w:val="0"/>
        <w:widowControl w:val="0"/>
        <w:numPr>
          <w:ilvl w:val="0"/>
          <w:numId w:val="2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愿景导向：</w:t>
      </w:r>
      <w:r>
        <w:rPr>
          <w:rFonts w:hint="eastAsia" w:asciiTheme="minorEastAsia" w:hAnsiTheme="minorEastAsia" w:eastAsiaTheme="minorEastAsia" w:cstheme="minorEastAsia"/>
          <w:lang w:val="en-US" w:eastAsia="zh-CN"/>
        </w:rPr>
        <w:t xml:space="preserve">我们不仅解决眼前问题，更帮助客户面向未来。我们的定位包含一个愿景：助力中小企业实现数字化转型和绿色低碳的双重升级，让小企业也能享受科技和政策带来的红利，走上可持续发展的快车道。这一愿景定位将体现在我们营销故事中，打动那些有抱负的企业主——我们不是在卖工具，而是在携手客户一起创造更绿色高效的事业。 </w:t>
      </w:r>
    </w:p>
    <w:p w14:paraId="182B5176">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82" w:name="_Toc26699"/>
      <w:r>
        <w:rPr>
          <w:rFonts w:hint="eastAsia" w:ascii="黑体" w:hAnsi="黑体" w:eastAsia="黑体" w:cs="黑体"/>
          <w:lang w:val="en-US" w:eastAsia="zh-CN"/>
        </w:rPr>
        <w:t>5.2.2 4P策略：落地推广与营销动作</w:t>
      </w:r>
      <w:bookmarkEnd w:id="82"/>
    </w:p>
    <w:p w14:paraId="0872240F">
      <w:pPr>
        <w:rPr>
          <w:rFonts w:hint="eastAsia" w:ascii="黑体" w:hAnsi="黑体" w:eastAsia="黑体" w:cs="黑体"/>
          <w:lang w:val="en-US" w:eastAsia="zh-CN"/>
        </w:rPr>
      </w:pPr>
    </w:p>
    <w:p w14:paraId="20187082">
      <w:pPr>
        <w:rPr>
          <w:rFonts w:hint="eastAsia" w:ascii="黑体" w:hAnsi="黑体" w:eastAsia="黑体" w:cs="黑体"/>
          <w:lang w:val="en-US" w:eastAsia="zh-CN"/>
        </w:rPr>
      </w:pPr>
    </w:p>
    <w:p w14:paraId="217507B3">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75648" behindDoc="0" locked="0" layoutInCell="1" allowOverlap="1">
            <wp:simplePos x="0" y="0"/>
            <wp:positionH relativeFrom="column">
              <wp:posOffset>0</wp:posOffset>
            </wp:positionH>
            <wp:positionV relativeFrom="paragraph">
              <wp:posOffset>34290</wp:posOffset>
            </wp:positionV>
            <wp:extent cx="5615940" cy="5183505"/>
            <wp:effectExtent l="9525" t="9525" r="13335" b="13970"/>
            <wp:wrapTopAndBottom/>
            <wp:docPr id="8" name="图片 8" descr="4P营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P营销图"/>
                    <pic:cNvPicPr>
                      <a:picLocks noChangeAspect="1"/>
                    </pic:cNvPicPr>
                  </pic:nvPicPr>
                  <pic:blipFill>
                    <a:blip r:embed="rId24"/>
                    <a:srcRect t="7701"/>
                    <a:stretch>
                      <a:fillRect/>
                    </a:stretch>
                  </pic:blipFill>
                  <pic:spPr>
                    <a:xfrm>
                      <a:off x="0" y="0"/>
                      <a:ext cx="5615940" cy="518350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16</w:t>
      </w:r>
      <w:r>
        <w:rPr>
          <w:rFonts w:hint="eastAsia" w:asciiTheme="majorEastAsia" w:hAnsiTheme="majorEastAsia" w:eastAsiaTheme="majorEastAsia" w:cstheme="majorEastAsia"/>
          <w:b/>
          <w:bCs/>
        </w:rPr>
        <w:fldChar w:fldCharType="end"/>
      </w:r>
      <w:bookmarkStart w:id="83" w:name="_Toc24784"/>
      <w:r>
        <w:rPr>
          <w:rFonts w:hint="eastAsia" w:asciiTheme="majorEastAsia" w:hAnsiTheme="majorEastAsia" w:eastAsiaTheme="majorEastAsia" w:cstheme="majorEastAsia"/>
          <w:b/>
          <w:bCs/>
          <w:lang w:eastAsia="zh-CN"/>
        </w:rPr>
        <w:t xml:space="preserve"> “碳账本”4P营销全景图</w:t>
      </w:r>
      <w:bookmarkEnd w:id="83"/>
    </w:p>
    <w:p w14:paraId="35A8C154">
      <w:pPr>
        <w:keepNext w:val="0"/>
        <w:keepLines w:val="0"/>
        <w:pageBreakBefore w:val="0"/>
        <w:widowControl w:val="0"/>
        <w:numPr>
          <w:ilvl w:val="0"/>
          <w:numId w:val="2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产品（Product）</w:t>
      </w:r>
    </w:p>
    <w:p w14:paraId="10EA975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围绕目标市场需求，强化产品三大核心功能，形成差异化竞争力：</w:t>
      </w:r>
    </w:p>
    <w:p w14:paraId="0B76550E">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4</w:t>
      </w:r>
      <w:r>
        <w:rPr>
          <w:rFonts w:hint="eastAsia" w:asciiTheme="majorEastAsia" w:hAnsiTheme="majorEastAsia" w:eastAsiaTheme="majorEastAsia" w:cstheme="majorEastAsia"/>
          <w:b/>
          <w:bCs/>
        </w:rPr>
        <w:fldChar w:fldCharType="end"/>
      </w:r>
      <w:bookmarkStart w:id="84" w:name="_Toc8026"/>
      <w:r>
        <w:rPr>
          <w:rFonts w:hint="eastAsia" w:asciiTheme="majorEastAsia" w:hAnsiTheme="majorEastAsia" w:eastAsiaTheme="majorEastAsia" w:cstheme="majorEastAsia"/>
          <w:b/>
          <w:bCs/>
          <w:lang w:eastAsia="zh-CN"/>
        </w:rPr>
        <w:t xml:space="preserve"> 强化功能模块</w:t>
      </w:r>
      <w:bookmarkEnd w:id="84"/>
    </w:p>
    <w:tbl>
      <w:tblPr>
        <w:tblStyle w:val="13"/>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36"/>
        <w:gridCol w:w="6039"/>
        <w:gridCol w:w="1369"/>
      </w:tblGrid>
      <w:tr w14:paraId="0A9B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6" w:type="dxa"/>
            <w:tcBorders>
              <w:top w:val="single" w:color="000000" w:sz="12" w:space="0"/>
              <w:left w:val="nil"/>
              <w:bottom w:val="single" w:color="000000" w:sz="4" w:space="0"/>
              <w:right w:val="nil"/>
              <w:tl2br w:val="nil"/>
            </w:tcBorders>
            <w:shd w:val="clear" w:color="auto" w:fill="auto"/>
            <w:vAlign w:val="center"/>
          </w:tcPr>
          <w:p w14:paraId="0355F92F">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color w:val="000000"/>
                <w:kern w:val="24"/>
                <w:sz w:val="24"/>
                <w:szCs w:val="24"/>
                <w:lang w:val="en-US" w:eastAsia="zh-CN" w:bidi="ar-SA"/>
              </w:rPr>
            </w:pPr>
            <w:r>
              <w:rPr>
                <w:rFonts w:hint="eastAsia" w:ascii="宋体" w:hAnsi="宋体" w:eastAsia="宋体" w:cs="宋体"/>
                <w:b w:val="0"/>
                <w:bCs/>
                <w:color w:val="000000"/>
                <w:sz w:val="24"/>
                <w:szCs w:val="24"/>
              </w:rPr>
              <w:t>模块</w:t>
            </w:r>
          </w:p>
        </w:tc>
        <w:tc>
          <w:tcPr>
            <w:tcW w:w="6039" w:type="dxa"/>
            <w:tcBorders>
              <w:top w:val="single" w:color="000000" w:sz="12" w:space="0"/>
              <w:left w:val="nil"/>
              <w:bottom w:val="single" w:color="000000" w:sz="4" w:space="0"/>
              <w:right w:val="nil"/>
            </w:tcBorders>
            <w:shd w:val="clear" w:color="auto" w:fill="auto"/>
            <w:vAlign w:val="center"/>
          </w:tcPr>
          <w:p w14:paraId="063480CA">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color w:val="000000"/>
                <w:kern w:val="24"/>
                <w:sz w:val="24"/>
                <w:szCs w:val="24"/>
                <w:lang w:val="en-US" w:eastAsia="zh-CN" w:bidi="ar-SA"/>
              </w:rPr>
            </w:pPr>
            <w:r>
              <w:rPr>
                <w:rFonts w:hint="eastAsia" w:ascii="宋体" w:hAnsi="宋体" w:eastAsia="宋体" w:cs="宋体"/>
                <w:b w:val="0"/>
                <w:bCs/>
                <w:color w:val="000000"/>
                <w:sz w:val="24"/>
                <w:szCs w:val="24"/>
              </w:rPr>
              <w:t>具体内容</w:t>
            </w:r>
          </w:p>
        </w:tc>
        <w:tc>
          <w:tcPr>
            <w:tcW w:w="1369" w:type="dxa"/>
            <w:tcBorders>
              <w:top w:val="single" w:color="000000" w:sz="12" w:space="0"/>
              <w:left w:val="nil"/>
              <w:bottom w:val="single" w:color="000000" w:sz="4" w:space="0"/>
              <w:right w:val="nil"/>
            </w:tcBorders>
            <w:shd w:val="clear" w:color="auto" w:fill="auto"/>
            <w:vAlign w:val="center"/>
          </w:tcPr>
          <w:p w14:paraId="62058E55">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color w:val="000000"/>
                <w:kern w:val="24"/>
                <w:sz w:val="24"/>
                <w:szCs w:val="24"/>
                <w:lang w:val="en-US" w:eastAsia="zh-CN" w:bidi="ar-SA"/>
              </w:rPr>
            </w:pPr>
            <w:r>
              <w:rPr>
                <w:rFonts w:hint="eastAsia" w:ascii="宋体" w:hAnsi="宋体" w:eastAsia="宋体" w:cs="宋体"/>
                <w:b w:val="0"/>
                <w:bCs/>
                <w:color w:val="000000"/>
                <w:sz w:val="24"/>
                <w:szCs w:val="24"/>
              </w:rPr>
              <w:t>面向对象</w:t>
            </w:r>
          </w:p>
        </w:tc>
      </w:tr>
      <w:tr w14:paraId="5BFE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tcBorders>
              <w:top w:val="single" w:color="000000" w:sz="4" w:space="0"/>
              <w:left w:val="nil"/>
              <w:bottom w:val="nil"/>
              <w:right w:val="nil"/>
            </w:tcBorders>
            <w:shd w:val="clear" w:color="auto" w:fill="auto"/>
            <w:vAlign w:val="center"/>
          </w:tcPr>
          <w:p w14:paraId="4607E07F">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bCs/>
                <w:color w:val="000000"/>
                <w:sz w:val="24"/>
                <w:szCs w:val="24"/>
              </w:rPr>
              <w:t>场景化工具包</w:t>
            </w:r>
          </w:p>
        </w:tc>
        <w:tc>
          <w:tcPr>
            <w:tcW w:w="6039" w:type="dxa"/>
            <w:tcBorders>
              <w:top w:val="single" w:color="000000" w:sz="4" w:space="0"/>
              <w:left w:val="nil"/>
              <w:bottom w:val="nil"/>
              <w:right w:val="nil"/>
            </w:tcBorders>
            <w:shd w:val="clear" w:color="auto" w:fill="auto"/>
            <w:vAlign w:val="center"/>
          </w:tcPr>
          <w:p w14:paraId="4C55A558">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 电商商家：推出“订单碳足迹核算包”，自动识别物流面单信息，实时计算减碳量，支持“绿色订单”申报；- 制造业企业：推出“补贴申报专属包”，内置各地政策模板，对接政府申报系统字段。</w:t>
            </w:r>
          </w:p>
        </w:tc>
        <w:tc>
          <w:tcPr>
            <w:tcW w:w="1369" w:type="dxa"/>
            <w:tcBorders>
              <w:top w:val="single" w:color="000000" w:sz="4" w:space="0"/>
              <w:left w:val="nil"/>
              <w:bottom w:val="nil"/>
              <w:right w:val="nil"/>
            </w:tcBorders>
            <w:shd w:val="clear" w:color="auto" w:fill="auto"/>
            <w:vAlign w:val="center"/>
          </w:tcPr>
          <w:p w14:paraId="78198551">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电商商家、制造业企业</w:t>
            </w:r>
          </w:p>
        </w:tc>
      </w:tr>
      <w:tr w14:paraId="3C82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6" w:type="dxa"/>
            <w:tcBorders>
              <w:top w:val="nil"/>
              <w:left w:val="nil"/>
              <w:bottom w:val="nil"/>
              <w:right w:val="nil"/>
            </w:tcBorders>
            <w:shd w:val="clear" w:color="auto" w:fill="auto"/>
            <w:vAlign w:val="center"/>
          </w:tcPr>
          <w:p w14:paraId="2F70CE29">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bCs/>
                <w:color w:val="000000"/>
                <w:sz w:val="24"/>
                <w:szCs w:val="24"/>
              </w:rPr>
              <w:t>免费试用机制</w:t>
            </w:r>
          </w:p>
        </w:tc>
        <w:tc>
          <w:tcPr>
            <w:tcW w:w="6039" w:type="dxa"/>
            <w:tcBorders>
              <w:top w:val="nil"/>
              <w:left w:val="nil"/>
              <w:bottom w:val="nil"/>
              <w:right w:val="nil"/>
            </w:tcBorders>
            <w:shd w:val="clear" w:color="auto" w:fill="auto"/>
            <w:vAlign w:val="center"/>
          </w:tcPr>
          <w:p w14:paraId="24023AE2">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 基础版永久免费：每月支持3次票据识别、1次简易碳核算报告；- 标准版（999元/年起）：解锁ESG评分、绿色金融对接、多端同步等功能。</w:t>
            </w:r>
          </w:p>
        </w:tc>
        <w:tc>
          <w:tcPr>
            <w:tcW w:w="1369" w:type="dxa"/>
            <w:tcBorders>
              <w:top w:val="nil"/>
              <w:left w:val="nil"/>
              <w:bottom w:val="nil"/>
              <w:right w:val="nil"/>
            </w:tcBorders>
            <w:shd w:val="clear" w:color="auto" w:fill="auto"/>
            <w:vAlign w:val="center"/>
          </w:tcPr>
          <w:p w14:paraId="2B6C48F0">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所有中小企业</w:t>
            </w:r>
          </w:p>
        </w:tc>
      </w:tr>
      <w:tr w14:paraId="1AFF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6" w:type="dxa"/>
            <w:tcBorders>
              <w:top w:val="nil"/>
              <w:left w:val="nil"/>
              <w:bottom w:val="single" w:color="000000" w:sz="12" w:space="0"/>
              <w:right w:val="nil"/>
            </w:tcBorders>
            <w:shd w:val="clear" w:color="auto" w:fill="auto"/>
            <w:vAlign w:val="center"/>
          </w:tcPr>
          <w:p w14:paraId="797C10B7">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bCs/>
                <w:color w:val="000000"/>
                <w:sz w:val="24"/>
                <w:szCs w:val="24"/>
              </w:rPr>
              <w:t>增值服务包</w:t>
            </w:r>
          </w:p>
        </w:tc>
        <w:tc>
          <w:tcPr>
            <w:tcW w:w="6039" w:type="dxa"/>
            <w:tcBorders>
              <w:top w:val="nil"/>
              <w:left w:val="nil"/>
              <w:bottom w:val="single" w:color="000000" w:sz="12" w:space="0"/>
              <w:right w:val="nil"/>
            </w:tcBorders>
            <w:shd w:val="clear" w:color="auto" w:fill="auto"/>
            <w:vAlign w:val="center"/>
          </w:tcPr>
          <w:p w14:paraId="7BE43FD3">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 ESG合规咨询包：1999元/次，提供报告修改、审核指导等服务；- 碳效优化方案包：为高需求企业量身定制减碳路径与改进建议。</w:t>
            </w:r>
          </w:p>
        </w:tc>
        <w:tc>
          <w:tcPr>
            <w:tcW w:w="1369" w:type="dxa"/>
            <w:tcBorders>
              <w:top w:val="nil"/>
              <w:left w:val="nil"/>
              <w:bottom w:val="single" w:color="000000" w:sz="12" w:space="0"/>
              <w:right w:val="nil"/>
            </w:tcBorders>
            <w:shd w:val="clear" w:color="auto" w:fill="auto"/>
            <w:vAlign w:val="center"/>
          </w:tcPr>
          <w:p w14:paraId="2A4B0393">
            <w:pPr>
              <w:keepNext/>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color w:val="000000"/>
                <w:kern w:val="24"/>
                <w:sz w:val="24"/>
                <w:szCs w:val="24"/>
                <w:lang w:val="en-US" w:eastAsia="zh-CN" w:bidi="ar-SA"/>
              </w:rPr>
            </w:pPr>
            <w:r>
              <w:rPr>
                <w:rFonts w:hint="eastAsia" w:ascii="宋体" w:hAnsi="宋体" w:eastAsia="宋体" w:cs="宋体"/>
                <w:b w:val="0"/>
                <w:color w:val="000000"/>
                <w:sz w:val="24"/>
                <w:szCs w:val="24"/>
              </w:rPr>
              <w:t>有进阶需求的企业</w:t>
            </w:r>
          </w:p>
        </w:tc>
      </w:tr>
    </w:tbl>
    <w:p w14:paraId="3E9E956A">
      <w:pPr>
        <w:keepNext w:val="0"/>
        <w:keepLines w:val="0"/>
        <w:pageBreakBefore w:val="0"/>
        <w:widowControl w:val="0"/>
        <w:numPr>
          <w:ilvl w:val="0"/>
          <w:numId w:val="2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价格（Price）</w:t>
      </w:r>
    </w:p>
    <w:p w14:paraId="73F9B00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制定价格时，我们站在中小企业的角度，力求定价亲民灵活，消除客户对成本的顾虑，并善用外部补贴降低实际支付。具体策略如下：</w:t>
      </w:r>
    </w:p>
    <w:p w14:paraId="60F4FC33">
      <w:pPr>
        <w:keepNext w:val="0"/>
        <w:keepLines w:val="0"/>
        <w:pageBreakBefore w:val="0"/>
        <w:widowControl w:val="0"/>
        <w:numPr>
          <w:ilvl w:val="0"/>
          <w:numId w:val="2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免费+付费混合模式：</w:t>
      </w:r>
      <w:r>
        <w:rPr>
          <w:rFonts w:hint="eastAsia" w:asciiTheme="minorEastAsia" w:hAnsiTheme="minorEastAsia" w:eastAsiaTheme="minorEastAsia" w:cstheme="minorEastAsia"/>
          <w:lang w:val="en-US" w:eastAsia="zh-CN"/>
        </w:rPr>
        <w:t>我们将采用基础功能免费，高级功能付费的模式。例如，基础的能耗监测和简单报表功能对小微企业永久免费，让任何规模的企业都能零门槛尝试我们的工具。高级版则收取订阅费，解锁如高级数据分析、政策申报助手高级版、多人协作、多工厂账户等扩展功能。这样分层定价确保“用得少的不花钱，用得多的才付费”，符合中小企业精打细算的心态。</w:t>
      </w:r>
    </w:p>
    <w:p w14:paraId="19927BCE">
      <w:pPr>
        <w:keepNext w:val="0"/>
        <w:keepLines w:val="0"/>
        <w:pageBreakBefore w:val="0"/>
        <w:widowControl w:val="0"/>
        <w:numPr>
          <w:ilvl w:val="0"/>
          <w:numId w:val="2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灵活订阅制：</w:t>
      </w:r>
      <w:r>
        <w:rPr>
          <w:rFonts w:hint="eastAsia" w:asciiTheme="minorEastAsia" w:hAnsiTheme="minorEastAsia" w:eastAsiaTheme="minorEastAsia" w:cstheme="minorEastAsia"/>
          <w:lang w:val="en-US" w:eastAsia="zh-CN"/>
        </w:rPr>
        <w:t>付费版本我们计划按年订阅制收费，同时提供月度付费选项。年付享受较大折扣（比如相当于10个月的价格），鼓励客户长期使用；月付则方便一些项目制客户短期使用后可随时取消，不设退出门槛。这种灵活性充分考虑到中小企业资金周转压力，避免一次性大额投入。价格绝对值方面，我们将根据企业规模分为几个档位，小微企业套餐价格可能仅需每月几百元人民币，中型企业的高级套餐则根据用户数和功能模块定价在每年数万元不等。总体上，价格远低于传统企业管理软件，让客户感觉物超所值。</w:t>
      </w:r>
    </w:p>
    <w:p w14:paraId="223F8CC0">
      <w:pPr>
        <w:keepNext w:val="0"/>
        <w:keepLines w:val="0"/>
        <w:pageBreakBefore w:val="0"/>
        <w:widowControl w:val="0"/>
        <w:numPr>
          <w:ilvl w:val="0"/>
          <w:numId w:val="2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首单优惠与试用：</w:t>
      </w:r>
      <w:r>
        <w:rPr>
          <w:rFonts w:hint="eastAsia" w:asciiTheme="minorEastAsia" w:hAnsiTheme="minorEastAsia" w:eastAsiaTheme="minorEastAsia" w:cstheme="minorEastAsia"/>
          <w:lang w:val="en-US" w:eastAsia="zh-CN"/>
        </w:rPr>
        <w:t>为了降低初次合作的心理门槛，我们提供免费试用和首年优惠策略。新客户可以先免费试用高级功能1个月，用得满意再付款；首次付费购买年度订阅的用户，可享受例如7折优惠或赠送额外顾问服务。这种优惠力度在启动期尤其要大胆一些，哪怕我们前期利润低甚至不赚钱，也要优先把客户量做起来、做出成功案例。。</w:t>
      </w:r>
    </w:p>
    <w:p w14:paraId="0AC42011">
      <w:pPr>
        <w:keepNext w:val="0"/>
        <w:keepLines w:val="0"/>
        <w:pageBreakBefore w:val="0"/>
        <w:widowControl w:val="0"/>
        <w:numPr>
          <w:ilvl w:val="0"/>
          <w:numId w:val="2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捆绑套餐和增值：</w:t>
      </w:r>
      <w:r>
        <w:rPr>
          <w:rFonts w:hint="eastAsia" w:asciiTheme="minorEastAsia" w:hAnsiTheme="minorEastAsia" w:eastAsiaTheme="minorEastAsia" w:cstheme="minorEastAsia"/>
          <w:lang w:val="en-US" w:eastAsia="zh-CN"/>
        </w:rPr>
        <w:t>随着产品线和合作拓展，我们会推出各种捆绑套餐。比如和银行合作，推出“绿色贷+软件服务”包：客户通过合作银行申请绿色信贷产品时，可获赠我们一年的高级版使用权（银行帮我们付部分费用）。或者与设备厂商合作，企业购买节能设备可以优惠获取我们的软件等等。</w:t>
      </w:r>
    </w:p>
    <w:p w14:paraId="57141A4F">
      <w:pPr>
        <w:keepNext w:val="0"/>
        <w:keepLines w:val="0"/>
        <w:pageBreakBefore w:val="0"/>
        <w:widowControl w:val="0"/>
        <w:numPr>
          <w:ilvl w:val="0"/>
          <w:numId w:val="2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价格沟通策略：</w:t>
      </w:r>
      <w:r>
        <w:rPr>
          <w:rFonts w:hint="eastAsia" w:asciiTheme="minorEastAsia" w:hAnsiTheme="minorEastAsia" w:eastAsiaTheme="minorEastAsia" w:cstheme="minorEastAsia"/>
          <w:lang w:val="en-US" w:eastAsia="zh-CN"/>
        </w:rPr>
        <w:t>在推广中，我们会着重强调我们的性价比。让客户明白用我们的工具每年花费可能不到请一位员工的十分之一，却能带来节能降耗几万元、政策补贴几十万的收益。此外，我们会公开透明价格，让客户放心没有隐藏费用；同时保证“不满意可退款”的承诺，消除后顾之忧。通过这些措施，把价格这一可能的阻碍变成促进成交的推动力。</w:t>
      </w:r>
    </w:p>
    <w:p w14:paraId="0A6D7DB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我们通过免费和优惠迅速获取客户，同时利用外部资源为客户降低实际成本，使客户用的起，我们才能发展的更好。</w:t>
      </w:r>
    </w:p>
    <w:p w14:paraId="3420182D">
      <w:pPr>
        <w:keepNext w:val="0"/>
        <w:keepLines w:val="0"/>
        <w:pageBreakBefore w:val="0"/>
        <w:widowControl w:val="0"/>
        <w:numPr>
          <w:ilvl w:val="0"/>
          <w:numId w:val="2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渠道（Place）</w:t>
      </w:r>
    </w:p>
    <w:p w14:paraId="1F71DF7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在渠道策略上，我们将采取线上线下相结合、自有直销加合作分销并举的方式，尽可能触达我们的目标客户群体。具体渠道布局和举措如下：</w:t>
      </w:r>
    </w:p>
    <w:p w14:paraId="6EC780BF">
      <w:pPr>
        <w:keepNext w:val="0"/>
        <w:keepLines w:val="0"/>
        <w:pageBreakBefore w:val="0"/>
        <w:widowControl w:val="0"/>
        <w:numPr>
          <w:ilvl w:val="0"/>
          <w:numId w:val="26"/>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线上渠道：高效触达分散企业</w:t>
      </w:r>
    </w:p>
    <w:p w14:paraId="30968829">
      <w:pPr>
        <w:keepNext w:val="0"/>
        <w:keepLines w:val="0"/>
        <w:pageBreakBefore w:val="0"/>
        <w:widowControl w:val="0"/>
        <w:numPr>
          <w:ilvl w:val="0"/>
          <w:numId w:val="27"/>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官方渠道：</w:t>
      </w:r>
      <w:r>
        <w:rPr>
          <w:rFonts w:hint="eastAsia" w:asciiTheme="minorEastAsia" w:hAnsiTheme="minorEastAsia" w:eastAsiaTheme="minorEastAsia" w:cstheme="minorEastAsia"/>
          <w:lang w:val="en-US" w:eastAsia="zh-CN"/>
        </w:rPr>
        <w:t>我们会搭建官方渠道直面客户，包括官方网站、微信公众号、小程序商城等。在官网和微信号上，我们将提供产品介绍、案例展示、在线咨询和注册试用入口，方便客户自行了解和体验。</w:t>
      </w:r>
    </w:p>
    <w:p w14:paraId="2D8A3BD0">
      <w:pPr>
        <w:keepNext w:val="0"/>
        <w:keepLines w:val="0"/>
        <w:pageBreakBefore w:val="0"/>
        <w:widowControl w:val="0"/>
        <w:numPr>
          <w:ilvl w:val="0"/>
          <w:numId w:val="27"/>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内容营销：</w:t>
      </w:r>
      <w:r>
        <w:rPr>
          <w:rFonts w:hint="eastAsia" w:asciiTheme="minorEastAsia" w:hAnsiTheme="minorEastAsia" w:eastAsiaTheme="minorEastAsia" w:cstheme="minorEastAsia"/>
          <w:lang w:val="en-US" w:eastAsia="zh-CN"/>
        </w:rPr>
        <w:t>在抖音、视频号发布“3分钟教电商商家算碳”“中小企业如何拿500万绿色补贴”等短视频（结合真实案例），挂载免费试用链接；在知乎、小红书发布“ESG报告怎么写？”“绿色信贷申请攻略”等干货内容，植入产品价值；</w:t>
      </w:r>
    </w:p>
    <w:p w14:paraId="69DB07DE">
      <w:pPr>
        <w:keepNext w:val="0"/>
        <w:keepLines w:val="0"/>
        <w:pageBreakBefore w:val="0"/>
        <w:widowControl w:val="0"/>
        <w:numPr>
          <w:ilvl w:val="0"/>
          <w:numId w:val="27"/>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社群运营：</w:t>
      </w:r>
      <w:r>
        <w:rPr>
          <w:rFonts w:hint="eastAsia" w:asciiTheme="minorEastAsia" w:hAnsiTheme="minorEastAsia" w:eastAsiaTheme="minorEastAsia" w:cstheme="minorEastAsia"/>
          <w:lang w:val="en-US" w:eastAsia="zh-CN"/>
        </w:rPr>
        <w:t>加入电商商家社群（如淘宝商家群、拼多多服务商群）、中小企业协会社群，定期分享政策解读（如“2025绿证双轨制”）、工具使用教程，开展“群内专属免费试用名额”活动，引导注册。</w:t>
      </w:r>
    </w:p>
    <w:p w14:paraId="063A97E5">
      <w:pPr>
        <w:keepNext w:val="0"/>
        <w:keepLines w:val="0"/>
        <w:pageBreakBefore w:val="0"/>
        <w:widowControl w:val="0"/>
        <w:numPr>
          <w:ilvl w:val="0"/>
          <w:numId w:val="26"/>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线下渠道：建立信任，批量获客</w:t>
      </w:r>
    </w:p>
    <w:p w14:paraId="3CED0E08">
      <w:pPr>
        <w:keepNext w:val="0"/>
        <w:keepLines w:val="0"/>
        <w:pageBreakBefore w:val="0"/>
        <w:widowControl w:val="0"/>
        <w:numPr>
          <w:ilvl w:val="0"/>
          <w:numId w:val="2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政府/协会合作：</w:t>
      </w:r>
      <w:r>
        <w:rPr>
          <w:rFonts w:hint="eastAsia" w:asciiTheme="minorEastAsia" w:hAnsiTheme="minorEastAsia" w:eastAsiaTheme="minorEastAsia" w:cstheme="minorEastAsia"/>
          <w:lang w:val="en-US" w:eastAsia="zh-CN"/>
        </w:rPr>
        <w:t>积极参与各地政府的中小企业服务活动。例如与中小企业协会、工业园区管委会合作举办小型交流会、政策宣讲会，在会上展示我们的产品。政府部门经常组织数字化转型对接会、环保技术推介会，我们都要设法拿到席位，以专业服务商身份出现，这样介绍产品顺理成章，企业也更信任。而且一些地方政府愿意为中小企业买单，我们的策略是去谈采购试点——让政府出资为某示范园区的几十家企业购买我们的服务，这样既帮助政府落地了政策，我们也一下拿下了一批种子用户。</w:t>
      </w:r>
    </w:p>
    <w:p w14:paraId="51495C8B">
      <w:pPr>
        <w:keepNext w:val="0"/>
        <w:keepLines w:val="0"/>
        <w:pageBreakBefore w:val="0"/>
        <w:widowControl w:val="0"/>
        <w:numPr>
          <w:ilvl w:val="0"/>
          <w:numId w:val="28"/>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供应链合作：</w:t>
      </w:r>
      <w:r>
        <w:rPr>
          <w:rFonts w:hint="eastAsia" w:asciiTheme="minorEastAsia" w:hAnsiTheme="minorEastAsia" w:eastAsiaTheme="minorEastAsia" w:cstheme="minorEastAsia"/>
          <w:lang w:val="en-US" w:eastAsia="zh-CN"/>
        </w:rPr>
        <w:t>发展后期目标与京东物流、顺丰供应链、包装供应商合作，向其服务的中小企业客户推荐产品（如“用碳账本算包装碳足迹，可申请物流减碳补贴”），实现供应链上下游批量触达；</w:t>
      </w:r>
    </w:p>
    <w:p w14:paraId="20E3379D">
      <w:pPr>
        <w:keepNext w:val="0"/>
        <w:keepLines w:val="0"/>
        <w:pageBreakBefore w:val="0"/>
        <w:widowControl w:val="0"/>
        <w:numPr>
          <w:ilvl w:val="0"/>
          <w:numId w:val="2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促销（Promotion）</w:t>
      </w:r>
    </w:p>
    <w:p w14:paraId="050570DE">
      <w:pPr>
        <w:keepNext w:val="0"/>
        <w:keepLines w:val="0"/>
        <w:pageBreakBefore w:val="0"/>
        <w:widowControl w:val="0"/>
        <w:numPr>
          <w:ilvl w:val="0"/>
          <w:numId w:val="29"/>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新客促销：降低首次转化门槛</w:t>
      </w:r>
    </w:p>
    <w:p w14:paraId="3B1ABF88">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注册有礼：</w:t>
      </w:r>
      <w:r>
        <w:rPr>
          <w:rFonts w:hint="eastAsia" w:asciiTheme="minorEastAsia" w:hAnsiTheme="minorEastAsia" w:eastAsiaTheme="minorEastAsia" w:cstheme="minorEastAsia"/>
          <w:lang w:val="en-US" w:eastAsia="zh-CN"/>
        </w:rPr>
        <w:t>新用户注册即送“3次免费报告生成额度”，完成首次票据识别再送“ESG评分体验券”。</w:t>
      </w:r>
    </w:p>
    <w:p w14:paraId="64E890F3">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首单折扣：</w:t>
      </w:r>
      <w:r>
        <w:rPr>
          <w:rFonts w:hint="eastAsia" w:asciiTheme="minorEastAsia" w:hAnsiTheme="minorEastAsia" w:eastAsiaTheme="minorEastAsia" w:cstheme="minorEastAsia"/>
          <w:lang w:val="en-US" w:eastAsia="zh-CN"/>
        </w:rPr>
        <w:t>标准付费层首年7折（699元/年），邀请1名好友注册再减100元，鼓励老带新。</w:t>
      </w:r>
    </w:p>
    <w:p w14:paraId="50B41C64">
      <w:pPr>
        <w:keepNext w:val="0"/>
        <w:keepLines w:val="0"/>
        <w:pageBreakBefore w:val="0"/>
        <w:widowControl w:val="0"/>
        <w:numPr>
          <w:ilvl w:val="0"/>
          <w:numId w:val="29"/>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场景化促销：绑定企业关键需求节点</w:t>
      </w:r>
    </w:p>
    <w:p w14:paraId="7AC8B732">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政策申报季（如3-4月、9-10月）：</w:t>
      </w:r>
      <w:r>
        <w:rPr>
          <w:rFonts w:hint="eastAsia" w:asciiTheme="minorEastAsia" w:hAnsiTheme="minorEastAsia" w:eastAsiaTheme="minorEastAsia" w:cstheme="minorEastAsia"/>
          <w:lang w:val="en-US" w:eastAsia="zh-CN"/>
        </w:rPr>
        <w:t>推出“补贴申报专属套餐”，购买标准层+1元可换购“补贴政策解读课”，同步提供申报材料模板，抓住企业“拿补贴”需求高峰。</w:t>
      </w:r>
    </w:p>
    <w:p w14:paraId="3F139BFD">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电商大促前（如618、双11）：</w:t>
      </w:r>
      <w:r>
        <w:rPr>
          <w:rFonts w:hint="eastAsia" w:asciiTheme="minorEastAsia" w:hAnsiTheme="minorEastAsia" w:eastAsiaTheme="minorEastAsia" w:cstheme="minorEastAsia"/>
          <w:lang w:val="en-US" w:eastAsia="zh-CN"/>
        </w:rPr>
        <w:t>针对电商商家推出“大促减碳套餐”，购买即送“订单碳足迹批量核算工具”，助力商家获取平台“绿色流量”扶持，契合大促前准备需求。</w:t>
      </w:r>
    </w:p>
    <w:p w14:paraId="12B8CF7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85" w:name="_Toc2046"/>
      <w:r>
        <w:rPr>
          <w:rFonts w:hint="eastAsia" w:ascii="黑体" w:hAnsi="黑体" w:eastAsia="黑体" w:cs="黑体"/>
          <w:b w:val="0"/>
          <w:bCs w:val="0"/>
          <w:sz w:val="28"/>
          <w:szCs w:val="240"/>
          <w:lang w:val="en-US" w:eastAsia="zh-CN"/>
        </w:rPr>
        <w:t>5.3营销总结</w:t>
      </w:r>
      <w:bookmarkEnd w:id="85"/>
    </w:p>
    <w:p w14:paraId="1624FBC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项目市场营销策略始终锚定电商中小企业垂直细分市场，严格遵循“聚焦核心、逐步辐射”的核心策略，以“政策导向为锚、用户需求为核、场景适配为根”，构建了完整的宏观环境适配体系与全维度落地执行策略。</w:t>
      </w:r>
    </w:p>
    <w:p w14:paraId="0B1FEB3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整体营销逻辑区别于传统ESG服务面向大型企业的高端化、定制化模式，深度贴合电商中小商家的经营特点、付费能力与核心痛点，以“免费引流降低门槛、场景化产品匹配需求、精准渠道批量触达、节点化促销高效转化”为核心，形成了极强的差异化营销竞争力，完全契合“中小企业绿色经营的轻量化数字工具”的核心市场定位。</w:t>
      </w:r>
    </w:p>
    <w:p w14:paraId="5896B09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通过全渠道营销体系的落地，项目可快速完成电商垂直赛道的用户积累与品牌壁垒构建，短期内实现对核心电商平台中小商家的规模化覆盖，同时借助生态合作与口碑传播，持续提升市场渗透率与用户粘性，最终实现“用户规模增长 - 品牌价值提升-商业变现闭环”的良性循环。</w:t>
      </w:r>
    </w:p>
    <w:p w14:paraId="247A36A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sectPr>
          <w:pgSz w:w="11906" w:h="16838"/>
          <w:pgMar w:top="1417" w:right="1531" w:bottom="1417" w:left="1531" w:header="851" w:footer="992" w:gutter="0"/>
          <w:pgNumType w:fmt="decimal"/>
          <w:cols w:space="0" w:num="1"/>
          <w:rtlGutter w:val="0"/>
          <w:docGrid w:type="linesAndChars" w:linePitch="378" w:charSpace="5734"/>
        </w:sectPr>
      </w:pPr>
    </w:p>
    <w:p w14:paraId="123AAD58">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86" w:name="_Toc24096"/>
      <w:r>
        <w:rPr>
          <w:rFonts w:hint="eastAsia"/>
          <w:lang w:val="en-US" w:eastAsia="zh-CN"/>
        </w:rPr>
        <w:t>第六章 碳账本—中小企业ESG数据自动化与绿色金融赋能平台</w:t>
      </w:r>
      <w:bookmarkEnd w:id="86"/>
    </w:p>
    <w:p w14:paraId="0D1033AB">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87" w:name="_Toc32634"/>
      <w:r>
        <w:rPr>
          <w:rFonts w:hint="eastAsia" w:ascii="黑体" w:hAnsi="黑体" w:eastAsia="黑体" w:cs="黑体"/>
          <w:b w:val="0"/>
          <w:bCs w:val="0"/>
          <w:sz w:val="28"/>
          <w:szCs w:val="240"/>
          <w:lang w:val="en-US" w:eastAsia="zh-CN"/>
        </w:rPr>
        <w:t>6.1 总体规划</w:t>
      </w:r>
      <w:bookmarkEnd w:id="87"/>
    </w:p>
    <w:p w14:paraId="69A0F753">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88" w:name="_Toc9689"/>
      <w:r>
        <w:rPr>
          <w:rFonts w:hint="eastAsia" w:ascii="Arial" w:hAnsi="Arial" w:eastAsia="等线" w:cs="Arial"/>
          <w:b/>
          <w:sz w:val="30"/>
        </w:rPr>
        <w:drawing>
          <wp:anchor distT="0" distB="0" distL="114300" distR="114300" simplePos="0" relativeHeight="251676672" behindDoc="0" locked="0" layoutInCell="1" allowOverlap="1">
            <wp:simplePos x="0" y="0"/>
            <wp:positionH relativeFrom="column">
              <wp:posOffset>0</wp:posOffset>
            </wp:positionH>
            <wp:positionV relativeFrom="paragraph">
              <wp:posOffset>293370</wp:posOffset>
            </wp:positionV>
            <wp:extent cx="5615940" cy="3281680"/>
            <wp:effectExtent l="9525" t="9525" r="13335" b="10795"/>
            <wp:wrapTopAndBottom/>
            <wp:docPr id="9" name="图片 9" descr="75cedba462ebf301b1633ecf0667d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5cedba462ebf301b1633ecf0667d510"/>
                    <pic:cNvPicPr>
                      <a:picLocks noChangeAspect="1"/>
                    </pic:cNvPicPr>
                  </pic:nvPicPr>
                  <pic:blipFill>
                    <a:blip r:embed="rId25"/>
                    <a:stretch>
                      <a:fillRect/>
                    </a:stretch>
                  </pic:blipFill>
                  <pic:spPr>
                    <a:xfrm>
                      <a:off x="0" y="0"/>
                      <a:ext cx="5615940" cy="3281680"/>
                    </a:xfrm>
                    <a:prstGeom prst="rect">
                      <a:avLst/>
                    </a:prstGeom>
                    <a:ln>
                      <a:solidFill>
                        <a:schemeClr val="tx1"/>
                      </a:solidFill>
                    </a:ln>
                  </pic:spPr>
                </pic:pic>
              </a:graphicData>
            </a:graphic>
          </wp:anchor>
        </w:drawing>
      </w:r>
      <w:r>
        <w:rPr>
          <w:rFonts w:hint="eastAsia" w:ascii="黑体" w:hAnsi="黑体" w:eastAsia="黑体" w:cs="黑体"/>
          <w:lang w:val="en-US" w:eastAsia="zh-CN"/>
        </w:rPr>
        <w:t>6.1.1 平台定位与建设目标</w:t>
      </w:r>
      <w:bookmarkEnd w:id="88"/>
    </w:p>
    <w:p w14:paraId="00015F98">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17</w:t>
      </w:r>
      <w:r>
        <w:rPr>
          <w:rFonts w:hint="eastAsia" w:asciiTheme="majorEastAsia" w:hAnsiTheme="majorEastAsia" w:eastAsiaTheme="majorEastAsia" w:cstheme="majorEastAsia"/>
          <w:b/>
          <w:bCs/>
        </w:rPr>
        <w:fldChar w:fldCharType="end"/>
      </w:r>
      <w:bookmarkStart w:id="89" w:name="_Toc25887"/>
      <w:r>
        <w:rPr>
          <w:rFonts w:hint="eastAsia" w:asciiTheme="majorEastAsia" w:hAnsiTheme="majorEastAsia" w:eastAsiaTheme="majorEastAsia" w:cstheme="majorEastAsia"/>
          <w:b/>
          <w:bCs/>
          <w:lang w:eastAsia="zh-CN"/>
        </w:rPr>
        <w:t xml:space="preserve"> 碳融智核项目 15 个月全周期实施阶段与里程碑规划图</w:t>
      </w:r>
      <w:bookmarkEnd w:id="89"/>
    </w:p>
    <w:p w14:paraId="5803E967">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90" w:name="_Toc29290"/>
      <w:r>
        <w:rPr>
          <w:rFonts w:hint="eastAsia" w:ascii="黑体" w:hAnsi="黑体" w:eastAsia="黑体" w:cs="黑体"/>
          <w:lang w:val="en-US" w:eastAsia="zh-CN"/>
        </w:rPr>
        <w:t>6.1.2 整体架构设计</w:t>
      </w:r>
      <w:bookmarkEnd w:id="90"/>
    </w:p>
    <w:p w14:paraId="3A6AFBE7">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rPr>
        <w:drawing>
          <wp:anchor distT="0" distB="0" distL="114300" distR="114300" simplePos="0" relativeHeight="251677696" behindDoc="0" locked="0" layoutInCell="1" allowOverlap="1">
            <wp:simplePos x="0" y="0"/>
            <wp:positionH relativeFrom="column">
              <wp:posOffset>0</wp:posOffset>
            </wp:positionH>
            <wp:positionV relativeFrom="paragraph">
              <wp:posOffset>52070</wp:posOffset>
            </wp:positionV>
            <wp:extent cx="5615940" cy="2870835"/>
            <wp:effectExtent l="9525" t="9525" r="13335" b="15240"/>
            <wp:wrapTopAndBottom/>
            <wp:docPr id="10" name="图片 10" descr="1c281b540f61967c19e74d6490dea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c281b540f61967c19e74d6490dea768"/>
                    <pic:cNvPicPr>
                      <a:picLocks noChangeAspect="1"/>
                    </pic:cNvPicPr>
                  </pic:nvPicPr>
                  <pic:blipFill>
                    <a:blip r:embed="rId26"/>
                    <a:stretch>
                      <a:fillRect/>
                    </a:stretch>
                  </pic:blipFill>
                  <pic:spPr>
                    <a:xfrm>
                      <a:off x="0" y="0"/>
                      <a:ext cx="5615940" cy="287083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18</w:t>
      </w:r>
      <w:r>
        <w:rPr>
          <w:rFonts w:hint="eastAsia" w:asciiTheme="majorEastAsia" w:hAnsiTheme="majorEastAsia" w:eastAsiaTheme="majorEastAsia" w:cstheme="majorEastAsia"/>
          <w:b/>
          <w:bCs/>
        </w:rPr>
        <w:fldChar w:fldCharType="end"/>
      </w:r>
      <w:bookmarkStart w:id="91" w:name="_Toc18267"/>
      <w:r>
        <w:rPr>
          <w:rFonts w:hint="eastAsia" w:asciiTheme="majorEastAsia" w:hAnsiTheme="majorEastAsia" w:eastAsiaTheme="majorEastAsia" w:cstheme="majorEastAsia"/>
          <w:b/>
          <w:bCs/>
          <w:lang w:eastAsia="zh-CN"/>
        </w:rPr>
        <w:t xml:space="preserve"> 碳融智核平台 SaaS+Fintech 双重驱动盈利生态循环图</w:t>
      </w:r>
      <w:bookmarkEnd w:id="91"/>
    </w:p>
    <w:p w14:paraId="0FD4A09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92" w:name="_Toc28889"/>
      <w:r>
        <w:rPr>
          <w:rFonts w:hint="eastAsia" w:ascii="黑体" w:hAnsi="黑体" w:eastAsia="黑体" w:cs="黑体"/>
          <w:lang w:val="en-US" w:eastAsia="zh-CN"/>
        </w:rPr>
        <w:t>6.1.3 技术选型与部署方案</w:t>
      </w:r>
      <w:bookmarkEnd w:id="92"/>
    </w:p>
    <w:p w14:paraId="34AF664E">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78720" behindDoc="0" locked="0" layoutInCell="1" allowOverlap="1">
            <wp:simplePos x="0" y="0"/>
            <wp:positionH relativeFrom="column">
              <wp:posOffset>0</wp:posOffset>
            </wp:positionH>
            <wp:positionV relativeFrom="paragraph">
              <wp:posOffset>23495</wp:posOffset>
            </wp:positionV>
            <wp:extent cx="5615940" cy="3061335"/>
            <wp:effectExtent l="9525" t="9525" r="13335" b="15240"/>
            <wp:wrapTopAndBottom/>
            <wp:docPr id="11" name="图片 11" descr="f6c11d20d8852d543d6447a082407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6c11d20d8852d543d6447a0824070e1"/>
                    <pic:cNvPicPr>
                      <a:picLocks noChangeAspect="1"/>
                    </pic:cNvPicPr>
                  </pic:nvPicPr>
                  <pic:blipFill>
                    <a:blip r:embed="rId27"/>
                    <a:stretch>
                      <a:fillRect/>
                    </a:stretch>
                  </pic:blipFill>
                  <pic:spPr>
                    <a:xfrm>
                      <a:off x="0" y="0"/>
                      <a:ext cx="5615940" cy="3061335"/>
                    </a:xfrm>
                    <a:prstGeom prst="rect">
                      <a:avLst/>
                    </a:prstGeom>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19</w:t>
      </w:r>
      <w:r>
        <w:rPr>
          <w:rFonts w:hint="eastAsia" w:asciiTheme="majorEastAsia" w:hAnsiTheme="majorEastAsia" w:eastAsiaTheme="majorEastAsia" w:cstheme="majorEastAsia"/>
          <w:b/>
          <w:bCs/>
        </w:rPr>
        <w:fldChar w:fldCharType="end"/>
      </w:r>
      <w:bookmarkStart w:id="93" w:name="_Toc1813"/>
      <w:r>
        <w:rPr>
          <w:rFonts w:hint="eastAsia" w:asciiTheme="majorEastAsia" w:hAnsiTheme="majorEastAsia" w:eastAsiaTheme="majorEastAsia" w:cstheme="majorEastAsia"/>
          <w:b/>
          <w:bCs/>
          <w:lang w:eastAsia="zh-CN"/>
        </w:rPr>
        <w:t xml:space="preserve"> 碳融智核平台四层技术架构与核心技术选型图</w:t>
      </w:r>
      <w:bookmarkEnd w:id="93"/>
    </w:p>
    <w:p w14:paraId="11747580">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94" w:name="_Toc8086"/>
      <w:r>
        <w:rPr>
          <w:rFonts w:hint="eastAsia" w:ascii="黑体" w:hAnsi="黑体" w:eastAsia="黑体" w:cs="黑体"/>
          <w:b w:val="0"/>
          <w:bCs w:val="0"/>
          <w:sz w:val="28"/>
          <w:szCs w:val="240"/>
          <w:lang w:val="en-US" w:eastAsia="zh-CN"/>
        </w:rPr>
        <w:t>6.2 功能结构</w:t>
      </w:r>
      <w:bookmarkEnd w:id="94"/>
    </w:p>
    <w:p w14:paraId="2C7AAEE3">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95" w:name="_Toc20984"/>
      <w:r>
        <w:rPr>
          <w:rFonts w:hint="eastAsia" w:ascii="黑体" w:hAnsi="黑体" w:eastAsia="黑体" w:cs="黑体"/>
          <w:lang w:val="en-US" w:eastAsia="zh-CN"/>
        </w:rPr>
        <w:t>6.2.1 核心功能模块划分</w:t>
      </w:r>
      <w:bookmarkEnd w:id="95"/>
    </w:p>
    <w:p w14:paraId="71256519">
      <w:pPr>
        <w:keepNext w:val="0"/>
        <w:keepLines w:val="0"/>
        <w:pageBreakBefore w:val="0"/>
        <w:widowControl w:val="0"/>
        <w:numPr>
          <w:ilvl w:val="0"/>
          <w:numId w:val="3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多源数据智能采集模块</w:t>
      </w:r>
    </w:p>
    <w:p w14:paraId="242DA73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搭载票据智能识别能力，支持发票、账单、物流单等20余种票据类型智能解析，可自动精准提取电量、金额、日期等核心关键信息；同时提供标准化API接口，可无缝对接ERP、电商平台、物流系统等第三方系统，实现数据无感知自动化同步；此外内置数据范围、逻辑一致性等多维度校验规则，可自动识别并标记异常数据，同步输出智能化修正建议，实现全流程数据质量闭环管控。</w:t>
      </w:r>
    </w:p>
    <w:p w14:paraId="5CFBAD0F">
      <w:pPr>
        <w:keepNext w:val="0"/>
        <w:keepLines w:val="0"/>
        <w:pageBreakBefore w:val="0"/>
        <w:widowControl w:val="0"/>
        <w:numPr>
          <w:ilvl w:val="0"/>
          <w:numId w:val="3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自动化碳核算与ESG评分模块：</w:t>
      </w:r>
    </w:p>
    <w:p w14:paraId="3FCAFA8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平台支持多标准碳核算，内置GB/T 32151、ISO 14064等国内外权威核算标准，可围绕生产、物流、包装等不同业务场景实现灵活、精细化的碳排放核算；同时构建动态ESG评分体系，基于环境（E）、社会（S）、治理（G）三大维度搭建20余项可量化指标，运用层次分析法科学确定指标权重，自动生成百分制ESG综合得分；此外还提供行业对标分析功能，将企业碳强度、ESG表现与同行业平均水平及标杆企业进行精准对比，帮助企业清晰定位短板、明确绿色发展改进方向。</w:t>
      </w:r>
    </w:p>
    <w:p w14:paraId="15019BE9">
      <w:pPr>
        <w:keepNext w:val="0"/>
        <w:keepLines w:val="0"/>
        <w:pageBreakBefore w:val="0"/>
        <w:widowControl w:val="0"/>
        <w:numPr>
          <w:ilvl w:val="0"/>
          <w:numId w:val="3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AIGC智能报告生成模块：</w:t>
      </w:r>
    </w:p>
    <w:p w14:paraId="2F5E0DA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平台提供多标准碳核算能力，内置GB/T 32151、ISO 14064等国内外权威标准，支持按生产、物流、包装等不同业务场景实现灵活、精细化的碳排放核算。同时搭建动态ESG评分体系，围绕环境（E）、社会（S）、治理（G）三大核心维度构建20余项可量化指标，采用层次分析法科学确定指标权重，自动生成百分制综合ESG得分。此外还提供行业对标分析功能，将企业碳强度、ESG表现与同行业平均水平及标杆企业进行精准对比，帮助企业清晰定位短板、明确持续改进方向。</w:t>
      </w:r>
    </w:p>
    <w:p w14:paraId="7D64F365">
      <w:pPr>
        <w:keepNext w:val="0"/>
        <w:keepLines w:val="0"/>
        <w:pageBreakBefore w:val="0"/>
        <w:widowControl w:val="0"/>
        <w:numPr>
          <w:ilvl w:val="0"/>
          <w:numId w:val="3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绿色金融智能对接模块：</w:t>
      </w:r>
    </w:p>
    <w:p w14:paraId="539949F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搭建一站式金融产品库，整合银行绿色信贷、低碳补贴贷、绿色供应链融资等50余款专属绿色金融产品，形成标准化、结构化的金融产品信息池；同时搭载智能匹配算法，采用“规则过滤+协同过滤”混合模式，先依据企业资质完成初筛，再结合ESG评分、碳效等级精准计算融资匹配度；并提供一键申请对接服务，企业可直接通过平台提交申请材料，实现ESG数据自动同步至金融机构，大幅简化融资流程、提升对接效率。</w:t>
      </w:r>
    </w:p>
    <w:p w14:paraId="38BDF494">
      <w:pPr>
        <w:keepNext w:val="0"/>
        <w:keepLines w:val="0"/>
        <w:pageBreakBefore w:val="0"/>
        <w:widowControl w:val="0"/>
        <w:numPr>
          <w:ilvl w:val="0"/>
          <w:numId w:val="31"/>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可视化数据驾驶舱模块：</w:t>
      </w:r>
    </w:p>
    <w:p w14:paraId="21ECFAE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1449705</wp:posOffset>
            </wp:positionV>
            <wp:extent cx="5615940" cy="3415030"/>
            <wp:effectExtent l="9525" t="9525" r="13335" b="17145"/>
            <wp:wrapTopAndBottom/>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8"/>
                    <a:stretch>
                      <a:fillRect/>
                    </a:stretch>
                  </pic:blipFill>
                  <pic:spPr>
                    <a:xfrm>
                      <a:off x="0" y="0"/>
                      <a:ext cx="5615940" cy="3415030"/>
                    </a:xfrm>
                    <a:prstGeom prst="rect">
                      <a:avLst/>
                    </a:prstGeom>
                    <a:noFill/>
                    <a:ln>
                      <a:solidFill>
                        <a:schemeClr val="tx1"/>
                      </a:solidFill>
                    </a:ln>
                  </pic:spPr>
                </pic:pic>
              </a:graphicData>
            </a:graphic>
          </wp:anchor>
        </w:drawing>
      </w:r>
      <w:r>
        <w:rPr>
          <w:rFonts w:hint="eastAsia" w:asciiTheme="minorEastAsia" w:hAnsiTheme="minorEastAsia" w:eastAsiaTheme="minorEastAsia" w:cstheme="minorEastAsia"/>
          <w:lang w:val="en-US" w:eastAsia="zh-CN"/>
        </w:rPr>
        <w:t>平台具备多维度可视化分析能力，可通过折线图、柱状图开展碳排放趋势分析，直观展示企业月度、年度碳排放总量与碳强度的动态变化，并支持与预设减排目标值对标对比；依托饼图、堆叠图实现能耗结构分析，清晰呈现电力、燃气、汽油等各类能源消耗占比，助力企业精准定位高耗能环节；同时搭载ESG得分雷达图，可视化展示环境（E）、社会（S）、治理（G）三大维度及细分指标得分，帮助企业清晰识别管理短板。</w:t>
      </w:r>
    </w:p>
    <w:p w14:paraId="20705B73">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20</w:t>
      </w:r>
      <w:r>
        <w:rPr>
          <w:rFonts w:hint="eastAsia" w:asciiTheme="majorEastAsia" w:hAnsiTheme="majorEastAsia" w:eastAsiaTheme="majorEastAsia" w:cstheme="majorEastAsia"/>
          <w:b/>
          <w:bCs/>
        </w:rPr>
        <w:fldChar w:fldCharType="end"/>
      </w:r>
      <w:bookmarkStart w:id="96" w:name="_Toc17812"/>
      <w:r>
        <w:rPr>
          <w:rFonts w:hint="eastAsia" w:asciiTheme="majorEastAsia" w:hAnsiTheme="majorEastAsia" w:eastAsiaTheme="majorEastAsia" w:cstheme="majorEastAsia"/>
          <w:b/>
          <w:bCs/>
          <w:lang w:eastAsia="zh-CN"/>
        </w:rPr>
        <w:t xml:space="preserve"> 碳融智核平台核心功能模块间数据流转逻辑图</w:t>
      </w:r>
      <w:bookmarkEnd w:id="96"/>
    </w:p>
    <w:p w14:paraId="03AA9C71">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97" w:name="_Toc2291"/>
      <w:r>
        <w:rPr>
          <w:rFonts w:hint="eastAsia" w:ascii="黑体" w:hAnsi="黑体" w:eastAsia="黑体" w:cs="黑体"/>
          <w:lang w:val="en-US" w:eastAsia="zh-CN"/>
        </w:rPr>
        <w:t>6.2.2 模块间数据流转逻辑</w:t>
      </w:r>
      <w:bookmarkEnd w:id="97"/>
    </w:p>
    <w:p w14:paraId="14BCC64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平台数据流转严格遵循并贯穿采集→核算→评分→报告→对接的核心闭环路径，全方位保障全流程数据的一致性、准确性与可追溯性。企业通过数据采集模块完成票据智能上传及第三方系统对接，数据经质量校验核验后统一汇入数据层，形成标准化、结构化数据集；碳核算与ESG评分模块调用数据层标准数据，依托专业核算模型与智能评分算法完成精准运算，生成权威碳排放数据与量化ESG综合得分；报告生成模块基于核算及评分结果，结合多场景合规模板自动生成专业报告，支持人工优化编辑后归档至报告知识库；金融对接模块结合企业ESG评分、经营数据与融资申请需求，调用金融产品库完成智能匹配筛选，输出定制化绿色金融产品推荐列表；数据驾驶舱实时同步各模块核心数据，通过多元化可视化组件直观展示关键指标，支持多维度数据钻取与深度分析，实现全流程数据可视、可管、可控。</w:t>
      </w:r>
    </w:p>
    <w:p w14:paraId="4405DED1">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98" w:name="_Toc7114"/>
      <w:r>
        <w:rPr>
          <w:rFonts w:hint="eastAsia" w:ascii="黑体" w:hAnsi="黑体" w:eastAsia="黑体" w:cs="黑体"/>
          <w:lang w:val="en-US" w:eastAsia="zh-CN"/>
        </w:rPr>
        <w:t>6.2.3 权限与角色管理体系</w:t>
      </w:r>
      <w:bookmarkEnd w:id="98"/>
    </w:p>
    <w:p w14:paraId="3D55203F">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企业管理员：</w:t>
      </w:r>
      <w:r>
        <w:rPr>
          <w:rFonts w:hint="eastAsia" w:asciiTheme="minorEastAsia" w:hAnsiTheme="minorEastAsia" w:eastAsiaTheme="minorEastAsia" w:cstheme="minorEastAsia"/>
          <w:lang w:val="en-US" w:eastAsia="zh-CN"/>
        </w:rPr>
        <w:t>拥有全平台操作权限，可管理企业信息、数据上传、报告生成、金融对接、权限分配等；负责企业ESG管理整体统筹。</w:t>
      </w:r>
    </w:p>
    <w:p w14:paraId="6E53FAD0">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数据操作员：</w:t>
      </w:r>
      <w:r>
        <w:rPr>
          <w:rFonts w:hint="eastAsia" w:asciiTheme="minorEastAsia" w:hAnsiTheme="minorEastAsia" w:eastAsiaTheme="minorEastAsia" w:cstheme="minorEastAsia"/>
          <w:lang w:val="en-US" w:eastAsia="zh-CN"/>
        </w:rPr>
        <w:t>仅负责数据采集与校验，可上传票据、对接系统、修正异常数据，但无法查看ESG评分与金融对接信息，保障数据操作隔离。</w:t>
      </w:r>
    </w:p>
    <w:p w14:paraId="65C410D1">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金融机构审核员：</w:t>
      </w:r>
      <w:r>
        <w:rPr>
          <w:rFonts w:hint="eastAsia" w:asciiTheme="minorEastAsia" w:hAnsiTheme="minorEastAsia" w:eastAsiaTheme="minorEastAsia" w:cstheme="minorEastAsia"/>
          <w:lang w:val="en-US" w:eastAsia="zh-CN"/>
        </w:rPr>
        <w:t>经企业授权后，可查看企业ESG评分、碳核算明细等核心数据，用于绿色金融产品审核；仅支持数据查询，无法修改。</w:t>
      </w:r>
    </w:p>
    <w:p w14:paraId="45274F7D">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平台管理员：</w:t>
      </w:r>
      <w:r>
        <w:rPr>
          <w:rFonts w:hint="eastAsia" w:asciiTheme="minorEastAsia" w:hAnsiTheme="minorEastAsia" w:eastAsiaTheme="minorEastAsia" w:cstheme="minorEastAsia"/>
          <w:lang w:val="en-US" w:eastAsia="zh-CN"/>
        </w:rPr>
        <w:t>负责系统维护、权限分配、数据安全监控、行业因子库更新等后台管理；保障平台稳定运行与数据合规。</w:t>
      </w:r>
    </w:p>
    <w:p w14:paraId="68D343C2">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99" w:name="_Toc5469"/>
      <w:r>
        <w:rPr>
          <w:rFonts w:hint="eastAsia" w:ascii="黑体" w:hAnsi="黑体" w:eastAsia="黑体" w:cs="黑体"/>
          <w:b w:val="0"/>
          <w:bCs w:val="0"/>
          <w:sz w:val="28"/>
          <w:szCs w:val="240"/>
          <w:lang w:val="en-US" w:eastAsia="zh-CN"/>
        </w:rPr>
        <w:t>6.3 板块设计</w:t>
      </w:r>
      <w:bookmarkEnd w:id="99"/>
    </w:p>
    <w:p w14:paraId="4A3ECAF5">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00" w:name="_Toc17930"/>
      <w:r>
        <w:rPr>
          <w:rFonts w:hint="eastAsia" w:ascii="黑体" w:hAnsi="黑体" w:eastAsia="黑体" w:cs="黑体"/>
          <w:lang w:val="en-US" w:eastAsia="zh-CN"/>
        </w:rPr>
        <w:t>6.3.1 欢迎/登录页面</w:t>
      </w:r>
      <w:bookmarkEnd w:id="100"/>
    </w:p>
    <w:p w14:paraId="5C7B963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drawing>
          <wp:anchor distT="0" distB="0" distL="114300" distR="114300" simplePos="0" relativeHeight="251680768" behindDoc="0" locked="0" layoutInCell="1" allowOverlap="1">
            <wp:simplePos x="0" y="0"/>
            <wp:positionH relativeFrom="column">
              <wp:posOffset>-19050</wp:posOffset>
            </wp:positionH>
            <wp:positionV relativeFrom="paragraph">
              <wp:posOffset>729615</wp:posOffset>
            </wp:positionV>
            <wp:extent cx="5615940" cy="2616200"/>
            <wp:effectExtent l="9525" t="9525" r="13335" b="15875"/>
            <wp:wrapTopAndBottom/>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9"/>
                    <a:srcRect t="7028" b="11870"/>
                    <a:stretch>
                      <a:fillRect/>
                    </a:stretch>
                  </pic:blipFill>
                  <pic:spPr>
                    <a:xfrm>
                      <a:off x="0" y="0"/>
                      <a:ext cx="5615940" cy="2616200"/>
                    </a:xfrm>
                    <a:prstGeom prst="rect">
                      <a:avLst/>
                    </a:prstGeom>
                    <a:noFill/>
                    <a:ln>
                      <a:solidFill>
                        <a:schemeClr val="tx1"/>
                      </a:solidFill>
                    </a:ln>
                  </pic:spPr>
                </pic:pic>
              </a:graphicData>
            </a:graphic>
          </wp:anchor>
        </w:drawing>
      </w:r>
      <w:r>
        <w:rPr>
          <w:rFonts w:hint="eastAsia" w:asciiTheme="minorEastAsia" w:hAnsiTheme="minorEastAsia" w:eastAsiaTheme="minorEastAsia" w:cstheme="minorEastAsia"/>
          <w:lang w:val="en-US" w:eastAsia="zh-CN"/>
        </w:rPr>
        <w:t>该页面为用户提供平台的登录与注册入口，支持多种登录方式并配备多重安全验证，未登录访客可预览平台功能介绍与案例展示，底部呈现合作机构与平台核心优势，引导新用户完成企业资质认证后开通账号使用平台服务。</w:t>
      </w:r>
    </w:p>
    <w:p w14:paraId="2A6CF540">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图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21</w:t>
      </w:r>
      <w:r>
        <w:rPr>
          <w:rFonts w:hint="eastAsia" w:asciiTheme="majorEastAsia" w:hAnsiTheme="majorEastAsia" w:eastAsiaTheme="majorEastAsia" w:cstheme="majorEastAsia"/>
          <w:b/>
          <w:bCs/>
        </w:rPr>
        <w:fldChar w:fldCharType="end"/>
      </w:r>
      <w:bookmarkStart w:id="101" w:name="_Toc7470"/>
      <w:r>
        <w:rPr>
          <w:rFonts w:hint="eastAsia" w:asciiTheme="majorEastAsia" w:hAnsiTheme="majorEastAsia" w:eastAsiaTheme="majorEastAsia" w:cstheme="majorEastAsia"/>
          <w:b/>
          <w:bCs/>
          <w:lang w:eastAsia="zh-CN"/>
        </w:rPr>
        <w:t xml:space="preserve"> 碳融智核平台欢迎 / 登录页面原型设计图</w:t>
      </w:r>
      <w:bookmarkEnd w:id="101"/>
    </w:p>
    <w:p w14:paraId="7AE56CA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02" w:name="_Toc199"/>
      <w:r>
        <w:rPr>
          <w:rFonts w:hint="eastAsia" w:ascii="黑体" w:hAnsi="黑体" w:eastAsia="黑体" w:cs="黑体"/>
          <w:lang w:val="en-US" w:eastAsia="zh-CN"/>
        </w:rPr>
        <w:t>6.3.2 企业中心/个人信息页面</w:t>
      </w:r>
      <w:bookmarkEnd w:id="102"/>
    </w:p>
    <w:p w14:paraId="19BFD15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lang w:eastAsia="zh-CN"/>
        </w:rPr>
      </w:pPr>
      <w:r>
        <w:rPr>
          <w:rFonts w:hint="eastAsia" w:asciiTheme="minorEastAsia" w:hAnsiTheme="minorEastAsia" w:eastAsiaTheme="minorEastAsia" w:cstheme="minorEastAsia"/>
          <w:lang w:val="en-US" w:eastAsia="zh-CN"/>
        </w:rPr>
        <w:t>该页面为企业用户搭建了一站式的数据管理与可视化控制台，左侧导航栏承载企业信息、资质、权限与账号的核心管理职能，中部以卡片化形式直观呈现年营收、碳排放、ESG得分等关键经营与绿色发展指标，右侧布局快捷操作入口，支持数据上传、报告生成与金融对接等高频动作，全方位助力企业高效完成碳核算管理与ESG体系建设。</w:t>
      </w:r>
      <w:r>
        <w:rPr>
          <w:rFonts w:hint="eastAsia"/>
          <w:lang w:eastAsia="zh-CN"/>
        </w:rPr>
        <w:drawing>
          <wp:inline distT="0" distB="0" distL="114300" distR="114300">
            <wp:extent cx="5256530" cy="2773680"/>
            <wp:effectExtent l="0" t="0" r="1270" b="7620"/>
            <wp:docPr id="16" name="图片 16" descr="f067999d9d7c486bf0b384b7fc0c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67999d9d7c486bf0b384b7fc0c12ef"/>
                    <pic:cNvPicPr>
                      <a:picLocks noChangeAspect="1"/>
                    </pic:cNvPicPr>
                  </pic:nvPicPr>
                  <pic:blipFill>
                    <a:blip r:embed="rId30"/>
                    <a:stretch>
                      <a:fillRect/>
                    </a:stretch>
                  </pic:blipFill>
                  <pic:spPr>
                    <a:xfrm>
                      <a:off x="0" y="0"/>
                      <a:ext cx="5256530" cy="2773680"/>
                    </a:xfrm>
                    <a:prstGeom prst="rect">
                      <a:avLst/>
                    </a:prstGeom>
                  </pic:spPr>
                </pic:pic>
              </a:graphicData>
            </a:graphic>
          </wp:inline>
        </w:drawing>
      </w:r>
    </w:p>
    <w:p w14:paraId="3A4EFB8D">
      <w:pPr>
        <w:pStyle w:val="5"/>
        <w:keepNext w:val="0"/>
        <w:keepLines w:val="0"/>
        <w:pageBreakBefore w:val="0"/>
        <w:widowControl w:val="0"/>
        <w:kinsoku/>
        <w:wordWrap/>
        <w:overflowPunct/>
        <w:topLinePunct w:val="0"/>
        <w:autoSpaceDE/>
        <w:autoSpaceDN/>
        <w:bidi w:val="0"/>
        <w:adjustRightInd/>
        <w:snapToGrid/>
        <w:textAlignment w:val="auto"/>
        <w:rPr>
          <w:rFonts w:hint="default"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lang w:val="en-US" w:eastAsia="zh-CN"/>
        </w:rPr>
        <w:t>22 企业管理后端页面</w:t>
      </w:r>
    </w:p>
    <w:p w14:paraId="6CD3265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03" w:name="_Toc15223"/>
      <w:r>
        <w:rPr>
          <w:rFonts w:hint="eastAsia" w:ascii="黑体" w:hAnsi="黑体" w:eastAsia="黑体" w:cs="黑体"/>
          <w:lang w:val="en-US" w:eastAsia="zh-CN"/>
        </w:rPr>
        <w:t>6.3.3 板块分类导航</w:t>
      </w:r>
      <w:bookmarkEnd w:id="103"/>
    </w:p>
    <w:p w14:paraId="09DE6DE9">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这个页面为用户提供覆盖碳管理、ESG评分、报告中心、金融对接及数据驾驶舱的全流程服务入口，采用顶部主导航与左侧子导航组合的网页端架构及底部Tab栏布局，辅以面包屑导航与关键词搜索，各板块间逻辑互通、一键跳转，实现从数据采集、评分分析、报告生成到金融对接的闭环体验。</w:t>
      </w:r>
    </w:p>
    <w:p w14:paraId="34001845">
      <w:pPr>
        <w:pStyle w:val="5"/>
        <w:keepNext w:val="0"/>
        <w:keepLines w:val="0"/>
        <w:pageBreakBefore w:val="0"/>
        <w:widowControl w:val="0"/>
        <w:kinsoku/>
        <w:wordWrap/>
        <w:overflowPunct/>
        <w:topLinePunct w:val="0"/>
        <w:autoSpaceDE/>
        <w:autoSpaceDN/>
        <w:bidi w:val="0"/>
        <w:adjustRightInd/>
        <w:snapToGrid/>
        <w:textAlignment w:val="auto"/>
        <w:rPr>
          <w:rFonts w:hint="eastAsia" w:ascii="Arial" w:hAnsi="Arial" w:eastAsia="等线" w:cs="Arial"/>
          <w:b/>
          <w:sz w:val="30"/>
          <w:lang w:eastAsia="zh-CN"/>
        </w:rPr>
      </w:pPr>
      <w:r>
        <w:rPr>
          <w:rFonts w:hint="eastAsia" w:ascii="Arial" w:hAnsi="Arial" w:eastAsia="等线" w:cs="Arial"/>
          <w:b/>
          <w:sz w:val="30"/>
          <w:lang w:eastAsia="zh-CN"/>
        </w:rPr>
        <w:drawing>
          <wp:inline distT="0" distB="0" distL="114300" distR="114300">
            <wp:extent cx="5080635" cy="2557780"/>
            <wp:effectExtent l="0" t="0" r="5715" b="4445"/>
            <wp:docPr id="18" name="图片 18" descr="22fe7a1400261d236457019e7311d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2fe7a1400261d236457019e7311d1c9"/>
                    <pic:cNvPicPr>
                      <a:picLocks noChangeAspect="1"/>
                    </pic:cNvPicPr>
                  </pic:nvPicPr>
                  <pic:blipFill>
                    <a:blip r:embed="rId31"/>
                    <a:stretch>
                      <a:fillRect/>
                    </a:stretch>
                  </pic:blipFill>
                  <pic:spPr>
                    <a:xfrm>
                      <a:off x="0" y="0"/>
                      <a:ext cx="5080635" cy="2557780"/>
                    </a:xfrm>
                    <a:prstGeom prst="rect">
                      <a:avLst/>
                    </a:prstGeom>
                  </pic:spPr>
                </pic:pic>
              </a:graphicData>
            </a:graphic>
          </wp:inline>
        </w:drawing>
      </w:r>
    </w:p>
    <w:p w14:paraId="11D4C3F7">
      <w:pPr>
        <w:pStyle w:val="5"/>
        <w:keepNext w:val="0"/>
        <w:keepLines w:val="0"/>
        <w:pageBreakBefore w:val="0"/>
        <w:widowControl w:val="0"/>
        <w:kinsoku/>
        <w:wordWrap/>
        <w:overflowPunct/>
        <w:topLinePunct w:val="0"/>
        <w:autoSpaceDE/>
        <w:autoSpaceDN/>
        <w:bidi w:val="0"/>
        <w:adjustRightInd/>
        <w:snapToGrid/>
        <w:textAlignment w:val="auto"/>
        <w:rPr>
          <w:rFonts w:hint="default"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rPr>
        <w:t xml:space="preserve">图 </w:t>
      </w:r>
      <w:r>
        <w:rPr>
          <w:rFonts w:hint="eastAsia" w:asciiTheme="majorEastAsia" w:hAnsiTheme="majorEastAsia" w:eastAsiaTheme="majorEastAsia" w:cstheme="majorEastAsia"/>
          <w:b/>
          <w:bCs/>
          <w:lang w:val="en-US" w:eastAsia="zh-CN"/>
        </w:rPr>
        <w:t>23 板块分类预览图</w:t>
      </w:r>
    </w:p>
    <w:p w14:paraId="41352833">
      <w:pPr>
        <w:rPr>
          <w:rFonts w:hint="eastAsia" w:asciiTheme="minorEastAsia" w:hAnsiTheme="minorEastAsia" w:eastAsiaTheme="minorEastAsia" w:cstheme="minorEastAsia"/>
          <w:lang w:val="en-US" w:eastAsia="zh-CN"/>
        </w:rPr>
      </w:pPr>
    </w:p>
    <w:p w14:paraId="21DE4AAC">
      <w:pPr>
        <w:pStyle w:val="4"/>
        <w:keepNext/>
        <w:keepLines/>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rPr>
      </w:pPr>
      <w:bookmarkStart w:id="104" w:name="_Toc5918"/>
      <w:r>
        <w:rPr>
          <w:rFonts w:hint="eastAsia" w:ascii="黑体" w:hAnsi="黑体" w:eastAsia="黑体" w:cs="黑体"/>
          <w:lang w:val="en-US" w:eastAsia="zh-CN"/>
        </w:rPr>
        <w:t>6.3.4 碳核算页面（以“制造业企业”为例）</w:t>
      </w:r>
      <w:bookmarkEnd w:id="104"/>
    </w:p>
    <w:p w14:paraId="69E1339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页面为制造业企业提供多场景、多标准的碳核算服务，支持票据上传、手动录入、系统对接等多种数据录入方式，可自动校验数据并快速输出碳排放核算结果，核算明细报表能直接导出用于企业内部管理与外部合规申报。</w:t>
      </w:r>
    </w:p>
    <w:p w14:paraId="783F9605">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imes New Roman" w:hAnsi="Times New Roman" w:eastAsia="宋体" w:cs="Times New Roman"/>
          <w:sz w:val="22"/>
          <w:lang w:eastAsia="zh-CN"/>
        </w:rPr>
        <w:drawing>
          <wp:inline distT="0" distB="0" distL="114300" distR="114300">
            <wp:extent cx="5580380" cy="2875280"/>
            <wp:effectExtent l="0" t="0" r="1270" b="1270"/>
            <wp:docPr id="17" name="图片 17" descr="f049c33dd9c7eedc675bc254304c4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49c33dd9c7eedc675bc254304c4e2b"/>
                    <pic:cNvPicPr>
                      <a:picLocks noChangeAspect="1"/>
                    </pic:cNvPicPr>
                  </pic:nvPicPr>
                  <pic:blipFill>
                    <a:blip r:embed="rId32"/>
                    <a:stretch>
                      <a:fillRect/>
                    </a:stretch>
                  </pic:blipFill>
                  <pic:spPr>
                    <a:xfrm>
                      <a:off x="0" y="0"/>
                      <a:ext cx="5580380" cy="2875280"/>
                    </a:xfrm>
                    <a:prstGeom prst="rect">
                      <a:avLst/>
                    </a:prstGeom>
                  </pic:spPr>
                </pic:pic>
              </a:graphicData>
            </a:graphic>
          </wp:inline>
        </w:drawing>
      </w:r>
      <w:bookmarkStart w:id="167" w:name="_GoBack"/>
      <w:bookmarkEnd w:id="167"/>
      <w:r>
        <w:rPr>
          <w:rFonts w:hint="eastAsia" w:asciiTheme="majorEastAsia" w:hAnsiTheme="majorEastAsia" w:eastAsiaTheme="majorEastAsia" w:cstheme="majorEastAsia"/>
          <w:b/>
          <w:bCs/>
        </w:rPr>
        <w:t xml:space="preserve"> </w:t>
      </w:r>
      <w:r>
        <w:rPr>
          <w:rFonts w:hint="eastAsia" w:asciiTheme="majorEastAsia" w:hAnsiTheme="majorEastAsia" w:eastAsiaTheme="majorEastAsia" w:cstheme="majorEastAsia"/>
          <w:b/>
          <w:bCs/>
          <w:lang w:val="en-US" w:eastAsia="zh-CN"/>
        </w:rPr>
        <w:t>图</w:t>
      </w:r>
      <w:bookmarkStart w:id="105" w:name="_Toc99"/>
      <w:r>
        <w:rPr>
          <w:rFonts w:hint="eastAsia" w:asciiTheme="majorEastAsia" w:hAnsiTheme="majorEastAsia" w:eastAsiaTheme="majorEastAsia" w:cstheme="majorEastAsia"/>
          <w:b/>
          <w:bCs/>
          <w:lang w:val="en-US" w:eastAsia="zh-CN"/>
        </w:rPr>
        <w:t>24</w:t>
      </w:r>
      <w:r>
        <w:rPr>
          <w:rFonts w:hint="eastAsia" w:asciiTheme="majorEastAsia" w:hAnsiTheme="majorEastAsia" w:eastAsiaTheme="majorEastAsia" w:cstheme="majorEastAsia"/>
          <w:b/>
          <w:bCs/>
          <w:lang w:eastAsia="zh-CN"/>
        </w:rPr>
        <w:t xml:space="preserve"> 制造业企业碳核算页面操作与结果展示原型图</w:t>
      </w:r>
      <w:bookmarkEnd w:id="105"/>
    </w:p>
    <w:p w14:paraId="5427597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06" w:name="_Toc15283"/>
      <w:r>
        <w:rPr>
          <w:rFonts w:hint="eastAsia" w:ascii="黑体" w:hAnsi="黑体" w:eastAsia="黑体" w:cs="黑体"/>
          <w:lang w:val="en-US" w:eastAsia="zh-CN"/>
        </w:rPr>
        <w:t>6.3.5 ESG评分页面（以“电商商家”为例）</w:t>
      </w:r>
      <w:bookmarkEnd w:id="106"/>
    </w:p>
    <w:p w14:paraId="3CBA077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该页面为电商商家呈现专属化的 ESG 评分结果与多维度可视化分析，实时更新企业绿色经营相关评分数据，提供行业对标分析与个性化改进计划，助力企业契合电商平台绿色商家认证要求，提升 ESG 管理水平。</w:t>
      </w:r>
    </w:p>
    <w:p w14:paraId="4AC5F63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drawing>
          <wp:anchor distT="0" distB="0" distL="114300" distR="114300" simplePos="0" relativeHeight="251681792" behindDoc="0" locked="0" layoutInCell="1" allowOverlap="1">
            <wp:simplePos x="0" y="0"/>
            <wp:positionH relativeFrom="column">
              <wp:posOffset>0</wp:posOffset>
            </wp:positionH>
            <wp:positionV relativeFrom="paragraph">
              <wp:posOffset>9525</wp:posOffset>
            </wp:positionV>
            <wp:extent cx="5615940" cy="2994660"/>
            <wp:effectExtent l="9525" t="9525" r="13335" b="18415"/>
            <wp:wrapTopAndBottom/>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5615940" cy="2994660"/>
                    </a:xfrm>
                    <a:prstGeom prst="rect">
                      <a:avLst/>
                    </a:prstGeom>
                    <a:noFill/>
                    <a:ln>
                      <a:solidFill>
                        <a:schemeClr val="tx1"/>
                      </a:solidFill>
                    </a:ln>
                  </pic:spPr>
                </pic:pic>
              </a:graphicData>
            </a:graphic>
          </wp:anchor>
        </w:drawing>
      </w:r>
      <w:r>
        <w:rPr>
          <w:rFonts w:hint="eastAsia" w:asciiTheme="majorEastAsia" w:hAnsiTheme="majorEastAsia" w:eastAsiaTheme="majorEastAsia" w:cstheme="majorEastAsia"/>
          <w:b/>
          <w:bCs/>
        </w:rPr>
        <w:t xml:space="preserve">图 </w:t>
      </w:r>
      <w:bookmarkStart w:id="107" w:name="_Toc18107"/>
      <w:r>
        <w:rPr>
          <w:rFonts w:hint="eastAsia" w:asciiTheme="majorEastAsia" w:hAnsiTheme="majorEastAsia" w:eastAsiaTheme="majorEastAsia" w:cstheme="majorEastAsia"/>
          <w:b/>
          <w:bCs/>
          <w:lang w:val="en-US" w:eastAsia="zh-CN"/>
        </w:rPr>
        <w:t>25</w:t>
      </w:r>
      <w:r>
        <w:rPr>
          <w:rFonts w:hint="eastAsia" w:asciiTheme="majorEastAsia" w:hAnsiTheme="majorEastAsia" w:eastAsiaTheme="majorEastAsia" w:cstheme="majorEastAsia"/>
          <w:b/>
          <w:bCs/>
          <w:lang w:eastAsia="zh-CN"/>
        </w:rPr>
        <w:t xml:space="preserve"> 电商商家 ESG 评分页面可视化分析原型图</w:t>
      </w:r>
      <w:bookmarkEnd w:id="107"/>
    </w:p>
    <w:p w14:paraId="3D0D4542">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08" w:name="_Toc22340"/>
      <w:r>
        <w:rPr>
          <w:rFonts w:hint="eastAsia" w:ascii="黑体" w:hAnsi="黑体" w:eastAsia="黑体" w:cs="黑体"/>
          <w:lang w:val="en-US" w:eastAsia="zh-CN"/>
        </w:rPr>
        <w:t>6.3.6 报告生成页面（以“绿色信贷申报”为例）</w:t>
      </w:r>
      <w:bookmarkEnd w:id="108"/>
    </w:p>
    <w:p w14:paraId="6DD0BCA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drawing>
          <wp:anchor distT="0" distB="0" distL="114300" distR="114300" simplePos="0" relativeHeight="251682816" behindDoc="0" locked="0" layoutInCell="1" allowOverlap="1">
            <wp:simplePos x="0" y="0"/>
            <wp:positionH relativeFrom="column">
              <wp:posOffset>26035</wp:posOffset>
            </wp:positionH>
            <wp:positionV relativeFrom="paragraph">
              <wp:posOffset>972820</wp:posOffset>
            </wp:positionV>
            <wp:extent cx="5615940" cy="3030220"/>
            <wp:effectExtent l="9525" t="9525" r="13335" b="20955"/>
            <wp:wrapTopAndBottom/>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4"/>
                    <a:stretch>
                      <a:fillRect/>
                    </a:stretch>
                  </pic:blipFill>
                  <pic:spPr>
                    <a:xfrm>
                      <a:off x="0" y="0"/>
                      <a:ext cx="5615940" cy="3030220"/>
                    </a:xfrm>
                    <a:prstGeom prst="rect">
                      <a:avLst/>
                    </a:prstGeom>
                    <a:noFill/>
                    <a:ln>
                      <a:solidFill>
                        <a:schemeClr val="tx1"/>
                      </a:solidFill>
                    </a:ln>
                  </pic:spPr>
                </pic:pic>
              </a:graphicData>
            </a:graphic>
          </wp:anchor>
        </w:drawing>
      </w:r>
      <w:r>
        <w:rPr>
          <w:rFonts w:hint="eastAsia" w:asciiTheme="minorEastAsia" w:hAnsiTheme="minorEastAsia" w:eastAsiaTheme="minorEastAsia" w:cstheme="minorEastAsia"/>
          <w:b w:val="0"/>
          <w:bCs w:val="0"/>
          <w:lang w:val="en-US" w:eastAsia="zh-CN"/>
        </w:rPr>
        <w:t>该页面为企业打造多场景的智能报告生成服务，内置绿色信贷申报等专属合规模板，可自动填充碳核算与 ESG 评分数据生成报告初稿，支持在线编辑优化与 PDF、Word 多格式导出，PDF 版本可添加电子签章满足正式申报需求。</w:t>
      </w:r>
    </w:p>
    <w:p w14:paraId="4E4A18C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bookmarkStart w:id="109" w:name="_Toc32190"/>
      <w:r>
        <w:rPr>
          <w:rFonts w:hint="eastAsia" w:asciiTheme="majorEastAsia" w:hAnsiTheme="majorEastAsia" w:eastAsiaTheme="majorEastAsia" w:cstheme="majorEastAsia"/>
          <w:b/>
          <w:bCs/>
          <w:lang w:val="en-US" w:eastAsia="zh-CN"/>
        </w:rPr>
        <w:t>26</w:t>
      </w:r>
      <w:r>
        <w:rPr>
          <w:rFonts w:hint="eastAsia" w:asciiTheme="majorEastAsia" w:hAnsiTheme="majorEastAsia" w:eastAsiaTheme="majorEastAsia" w:cstheme="majorEastAsia"/>
          <w:b/>
          <w:bCs/>
          <w:lang w:eastAsia="zh-CN"/>
        </w:rPr>
        <w:t xml:space="preserve"> 绿色信贷申报场景 AIGC 智能报告生成页面原型图</w:t>
      </w:r>
      <w:bookmarkEnd w:id="109"/>
    </w:p>
    <w:p w14:paraId="08095888">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10" w:name="_Toc6359"/>
      <w:r>
        <w:rPr>
          <w:rFonts w:hint="eastAsia" w:ascii="黑体" w:hAnsi="黑体" w:eastAsia="黑体" w:cs="黑体"/>
          <w:lang w:val="en-US" w:eastAsia="zh-CN"/>
        </w:rPr>
        <w:t>6.3.7 金融对接页面（以“银行绿色信贷”为例）</w:t>
      </w:r>
      <w:bookmarkEnd w:id="110"/>
    </w:p>
    <w:p w14:paraId="180F95B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drawing>
          <wp:anchor distT="0" distB="0" distL="114300" distR="114300" simplePos="0" relativeHeight="251683840" behindDoc="0" locked="0" layoutInCell="1" allowOverlap="1">
            <wp:simplePos x="0" y="0"/>
            <wp:positionH relativeFrom="column">
              <wp:posOffset>0</wp:posOffset>
            </wp:positionH>
            <wp:positionV relativeFrom="paragraph">
              <wp:posOffset>729615</wp:posOffset>
            </wp:positionV>
            <wp:extent cx="5615940" cy="3384550"/>
            <wp:effectExtent l="9525" t="9525" r="13335" b="9525"/>
            <wp:wrapTopAndBottom/>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35"/>
                    <a:stretch>
                      <a:fillRect/>
                    </a:stretch>
                  </pic:blipFill>
                  <pic:spPr>
                    <a:xfrm>
                      <a:off x="0" y="0"/>
                      <a:ext cx="5615940" cy="3384550"/>
                    </a:xfrm>
                    <a:prstGeom prst="rect">
                      <a:avLst/>
                    </a:prstGeom>
                    <a:noFill/>
                    <a:ln>
                      <a:solidFill>
                        <a:schemeClr val="tx1"/>
                      </a:solidFill>
                    </a:ln>
                  </pic:spPr>
                </pic:pic>
              </a:graphicData>
            </a:graphic>
          </wp:anchor>
        </w:drawing>
      </w:r>
      <w:r>
        <w:rPr>
          <w:rFonts w:hint="eastAsia" w:asciiTheme="minorEastAsia" w:hAnsiTheme="minorEastAsia" w:eastAsiaTheme="minorEastAsia" w:cstheme="minorEastAsia"/>
          <w:b w:val="0"/>
          <w:bCs w:val="0"/>
          <w:lang w:val="en-US" w:eastAsia="zh-CN"/>
        </w:rPr>
        <w:t>该页面为企业搭建与银行的绿色金融对接通道，基于企业 ESG 与碳数据智能匹配适配的绿色信贷产品，支持一键提交申请材料、实时跟踪审核进度，可对比多款融资产品方案，申请数据全程加密传输保障企业信息安全。</w:t>
      </w:r>
    </w:p>
    <w:p w14:paraId="6E6C07CA">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图 </w:t>
      </w:r>
      <w:bookmarkStart w:id="111" w:name="_Toc1659"/>
      <w:r>
        <w:rPr>
          <w:rFonts w:hint="eastAsia" w:asciiTheme="majorEastAsia" w:hAnsiTheme="majorEastAsia" w:eastAsiaTheme="majorEastAsia" w:cstheme="majorEastAsia"/>
          <w:b/>
          <w:bCs/>
          <w:lang w:val="en-US" w:eastAsia="zh-CN"/>
        </w:rPr>
        <w:t xml:space="preserve">27 </w:t>
      </w:r>
      <w:r>
        <w:rPr>
          <w:rFonts w:hint="eastAsia" w:asciiTheme="majorEastAsia" w:hAnsiTheme="majorEastAsia" w:eastAsiaTheme="majorEastAsia" w:cstheme="majorEastAsia"/>
          <w:b/>
          <w:bCs/>
          <w:lang w:eastAsia="zh-CN"/>
        </w:rPr>
        <w:t>银行绿色信贷对接页面产品匹配与申请原型图</w:t>
      </w:r>
      <w:bookmarkEnd w:id="111"/>
    </w:p>
    <w:p w14:paraId="365FFBE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sectPr>
          <w:pgSz w:w="11906" w:h="16838"/>
          <w:pgMar w:top="1417" w:right="1531" w:bottom="1417" w:left="1531" w:header="851" w:footer="992" w:gutter="0"/>
          <w:pgNumType w:fmt="decimal"/>
          <w:cols w:space="0" w:num="1"/>
          <w:rtlGutter w:val="0"/>
          <w:docGrid w:type="linesAndChars" w:linePitch="378" w:charSpace="5734"/>
        </w:sectPr>
      </w:pPr>
    </w:p>
    <w:p w14:paraId="606102DB">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112" w:name="_Toc18110"/>
      <w:r>
        <w:rPr>
          <w:rFonts w:hint="eastAsia"/>
          <w:lang w:val="en-US" w:eastAsia="zh-CN"/>
        </w:rPr>
        <w:t>第七章 盈利模式</w:t>
      </w:r>
      <w:bookmarkEnd w:id="112"/>
    </w:p>
    <w:p w14:paraId="2B61CBE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13" w:name="_Toc5845"/>
      <w:r>
        <w:rPr>
          <w:rFonts w:hint="eastAsia" w:ascii="黑体" w:hAnsi="黑体" w:eastAsia="黑体" w:cs="黑体"/>
          <w:b w:val="0"/>
          <w:bCs w:val="0"/>
          <w:sz w:val="28"/>
          <w:szCs w:val="240"/>
          <w:lang w:val="en-US" w:eastAsia="zh-CN"/>
        </w:rPr>
        <w:t>7.1商业模式核心概述</w:t>
      </w:r>
      <w:bookmarkEnd w:id="113"/>
    </w:p>
    <w:p w14:paraId="4483765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本项目立足电商中小企业 ESG 合规与绿色融资核心痛点，延续“电商场景SaaS工具+专业数据服务+绿色金融对接”的商业模式，打造覆盖数据采集-自动化核算-合规报告-绿色融资-碳效优化的解决方案。依托电商专属ESG数据模型与多平台对接能力，实现电商企业ESG数据资产化、绿色信用可融资化，构建“商家合规-平台赋能-金融助力”的电商绿色生态闭环。</w:t>
      </w:r>
    </w:p>
    <w:p w14:paraId="3730035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14" w:name="_Toc17431"/>
      <w:r>
        <w:rPr>
          <w:rFonts w:hint="eastAsia" w:ascii="黑体" w:hAnsi="黑体" w:eastAsia="黑体" w:cs="黑体"/>
          <w:b w:val="0"/>
          <w:bCs w:val="0"/>
          <w:sz w:val="28"/>
          <w:szCs w:val="240"/>
          <w:lang w:val="en-US" w:eastAsia="zh-CN"/>
        </w:rPr>
        <w:t>7.2核心盈利板块</w:t>
      </w:r>
      <w:bookmarkEnd w:id="114"/>
    </w:p>
    <w:p w14:paraId="3E1799CB">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15" w:name="_Toc8943"/>
      <w:r>
        <w:rPr>
          <w:rFonts w:hint="eastAsia" w:ascii="黑体" w:hAnsi="黑体" w:eastAsia="黑体" w:cs="黑体"/>
          <w:lang w:val="en-US" w:eastAsia="zh-CN"/>
        </w:rPr>
        <w:t>7.2.1 SaaS 订阅服务收入</w:t>
      </w:r>
      <w:bookmarkEnd w:id="115"/>
    </w:p>
    <w:p w14:paraId="0E97668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SaaS订阅收入是项目的核心基础营收来源，沿用“免费获客 + 分级付费”的盈利逻辑，针对电商中小企业的经营规模与需求差异，设计永久免费版 + 分级付费版的订阅体系，实现稳定、可持续的现金流，是项目的基本盘盈利来源。</w:t>
      </w:r>
    </w:p>
    <w:p w14:paraId="3AF7527D">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5</w:t>
      </w:r>
      <w:r>
        <w:rPr>
          <w:rFonts w:hint="eastAsia" w:asciiTheme="majorEastAsia" w:hAnsiTheme="majorEastAsia" w:eastAsiaTheme="majorEastAsia" w:cstheme="majorEastAsia"/>
          <w:b/>
          <w:bCs/>
        </w:rPr>
        <w:fldChar w:fldCharType="end"/>
      </w:r>
      <w:bookmarkStart w:id="116" w:name="_Toc9742"/>
      <w:r>
        <w:rPr>
          <w:rFonts w:hint="eastAsia" w:asciiTheme="majorEastAsia" w:hAnsiTheme="majorEastAsia" w:eastAsiaTheme="majorEastAsia" w:cstheme="majorEastAsia"/>
          <w:b/>
          <w:bCs/>
          <w:lang w:eastAsia="zh-CN"/>
        </w:rPr>
        <w:t xml:space="preserve"> 碳融智核项目五年盈利能力核心指标分析表</w:t>
      </w:r>
      <w:bookmarkEnd w:id="116"/>
    </w:p>
    <w:tbl>
      <w:tblPr>
        <w:tblStyle w:val="13"/>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1454"/>
        <w:gridCol w:w="3819"/>
        <w:gridCol w:w="2211"/>
      </w:tblGrid>
      <w:tr w14:paraId="0622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Borders>
              <w:top w:val="single" w:color="000000" w:sz="12" w:space="0"/>
              <w:left w:val="nil"/>
              <w:bottom w:val="single" w:color="000000" w:sz="4" w:space="0"/>
              <w:right w:val="nil"/>
              <w:tl2br w:val="nil"/>
            </w:tcBorders>
            <w:shd w:val="clear" w:color="auto" w:fill="auto"/>
            <w:vAlign w:val="center"/>
          </w:tcPr>
          <w:p w14:paraId="79FC8036">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产品版本</w:t>
            </w:r>
          </w:p>
        </w:tc>
        <w:tc>
          <w:tcPr>
            <w:tcW w:w="1454" w:type="dxa"/>
            <w:tcBorders>
              <w:top w:val="single" w:color="000000" w:sz="12" w:space="0"/>
              <w:left w:val="nil"/>
              <w:bottom w:val="single" w:color="000000" w:sz="4" w:space="0"/>
              <w:right w:val="nil"/>
            </w:tcBorders>
            <w:shd w:val="clear" w:color="auto" w:fill="auto"/>
            <w:vAlign w:val="center"/>
          </w:tcPr>
          <w:p w14:paraId="690F3275">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定价标准</w:t>
            </w:r>
          </w:p>
        </w:tc>
        <w:tc>
          <w:tcPr>
            <w:tcW w:w="3819" w:type="dxa"/>
            <w:tcBorders>
              <w:top w:val="single" w:color="000000" w:sz="12" w:space="0"/>
              <w:left w:val="nil"/>
              <w:bottom w:val="single" w:color="000000" w:sz="4" w:space="0"/>
              <w:right w:val="nil"/>
            </w:tcBorders>
            <w:shd w:val="clear" w:color="auto" w:fill="auto"/>
            <w:vAlign w:val="center"/>
          </w:tcPr>
          <w:p w14:paraId="2C9CAEC3">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核心电商专属功能</w:t>
            </w:r>
          </w:p>
        </w:tc>
        <w:tc>
          <w:tcPr>
            <w:tcW w:w="2211" w:type="dxa"/>
            <w:tcBorders>
              <w:top w:val="single" w:color="000000" w:sz="12" w:space="0"/>
              <w:left w:val="nil"/>
              <w:bottom w:val="single" w:color="000000" w:sz="4" w:space="0"/>
              <w:right w:val="nil"/>
            </w:tcBorders>
            <w:shd w:val="clear" w:color="auto" w:fill="auto"/>
            <w:vAlign w:val="center"/>
          </w:tcPr>
          <w:p w14:paraId="6166F0DF">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适配电商商家类型</w:t>
            </w:r>
          </w:p>
        </w:tc>
      </w:tr>
      <w:tr w14:paraId="74C3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Borders>
              <w:top w:val="single" w:color="000000" w:sz="4" w:space="0"/>
              <w:left w:val="nil"/>
              <w:bottom w:val="nil"/>
              <w:right w:val="nil"/>
            </w:tcBorders>
            <w:shd w:val="clear" w:color="auto" w:fill="auto"/>
            <w:vAlign w:val="center"/>
          </w:tcPr>
          <w:p w14:paraId="3FFBD2E0">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基础版</w:t>
            </w:r>
          </w:p>
        </w:tc>
        <w:tc>
          <w:tcPr>
            <w:tcW w:w="1454" w:type="dxa"/>
            <w:tcBorders>
              <w:top w:val="single" w:color="000000" w:sz="4" w:space="0"/>
              <w:left w:val="nil"/>
              <w:bottom w:val="nil"/>
              <w:right w:val="nil"/>
            </w:tcBorders>
            <w:shd w:val="clear" w:color="auto" w:fill="auto"/>
            <w:vAlign w:val="center"/>
          </w:tcPr>
          <w:p w14:paraId="4C961F43">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永久免费</w:t>
            </w:r>
          </w:p>
        </w:tc>
        <w:tc>
          <w:tcPr>
            <w:tcW w:w="3819" w:type="dxa"/>
            <w:tcBorders>
              <w:top w:val="single" w:color="000000" w:sz="4" w:space="0"/>
              <w:left w:val="nil"/>
              <w:bottom w:val="nil"/>
              <w:right w:val="nil"/>
            </w:tcBorders>
            <w:shd w:val="clear" w:color="auto" w:fill="auto"/>
            <w:vAlign w:val="center"/>
          </w:tcPr>
          <w:p w14:paraId="4E07F059">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每月3次碳核算+1份标准合规报告、基础票据识别功能、简易ESG评分</w:t>
            </w:r>
          </w:p>
        </w:tc>
        <w:tc>
          <w:tcPr>
            <w:tcW w:w="2211" w:type="dxa"/>
            <w:tcBorders>
              <w:top w:val="single" w:color="000000" w:sz="4" w:space="0"/>
              <w:left w:val="nil"/>
              <w:bottom w:val="nil"/>
              <w:right w:val="nil"/>
            </w:tcBorders>
            <w:shd w:val="clear" w:color="auto" w:fill="auto"/>
            <w:vAlign w:val="center"/>
          </w:tcPr>
          <w:p w14:paraId="246ECFF2">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电商小店、种子用户、意向试用的小微电商</w:t>
            </w:r>
          </w:p>
        </w:tc>
      </w:tr>
      <w:tr w14:paraId="62A0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Borders>
              <w:top w:val="nil"/>
              <w:left w:val="nil"/>
              <w:bottom w:val="nil"/>
              <w:right w:val="nil"/>
            </w:tcBorders>
            <w:shd w:val="clear" w:color="auto" w:fill="auto"/>
            <w:vAlign w:val="center"/>
          </w:tcPr>
          <w:p w14:paraId="35ACF524">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标准版</w:t>
            </w:r>
          </w:p>
        </w:tc>
        <w:tc>
          <w:tcPr>
            <w:tcW w:w="1454" w:type="dxa"/>
            <w:tcBorders>
              <w:top w:val="nil"/>
              <w:left w:val="nil"/>
              <w:bottom w:val="nil"/>
              <w:right w:val="nil"/>
            </w:tcBorders>
            <w:shd w:val="clear" w:color="auto" w:fill="auto"/>
            <w:vAlign w:val="center"/>
          </w:tcPr>
          <w:p w14:paraId="55450998">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999元/年</w:t>
            </w:r>
          </w:p>
        </w:tc>
        <w:tc>
          <w:tcPr>
            <w:tcW w:w="3819" w:type="dxa"/>
            <w:tcBorders>
              <w:top w:val="nil"/>
              <w:left w:val="nil"/>
              <w:bottom w:val="nil"/>
              <w:right w:val="nil"/>
            </w:tcBorders>
            <w:shd w:val="clear" w:color="auto" w:fill="auto"/>
            <w:vAlign w:val="center"/>
          </w:tcPr>
          <w:p w14:paraId="30B5A290">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全量ESG评分、单电商平台数据同步、绿色金融产品匹配、电商平台绿色商家申报全模板、月度碳效分析</w:t>
            </w:r>
          </w:p>
        </w:tc>
        <w:tc>
          <w:tcPr>
            <w:tcW w:w="2211" w:type="dxa"/>
            <w:tcBorders>
              <w:top w:val="nil"/>
              <w:left w:val="nil"/>
              <w:bottom w:val="nil"/>
              <w:right w:val="nil"/>
            </w:tcBorders>
            <w:shd w:val="clear" w:color="auto" w:fill="auto"/>
            <w:vAlign w:val="center"/>
          </w:tcPr>
          <w:p w14:paraId="624A9F11">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单平台经营、年营收50-500万的中小电商</w:t>
            </w:r>
          </w:p>
        </w:tc>
      </w:tr>
      <w:tr w14:paraId="445A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tcBorders>
              <w:top w:val="nil"/>
              <w:left w:val="nil"/>
              <w:bottom w:val="single" w:color="000000" w:sz="12" w:space="0"/>
              <w:right w:val="nil"/>
            </w:tcBorders>
            <w:shd w:val="clear" w:color="auto" w:fill="auto"/>
            <w:vAlign w:val="center"/>
          </w:tcPr>
          <w:p w14:paraId="2D3223CA">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bCs/>
                <w:color w:val="000000"/>
                <w:kern w:val="24"/>
                <w:sz w:val="24"/>
                <w:szCs w:val="22"/>
                <w:lang w:val="en-US" w:eastAsia="zh-CN" w:bidi="ar-SA"/>
              </w:rPr>
            </w:pPr>
            <w:r>
              <w:rPr>
                <w:rFonts w:hint="eastAsia" w:ascii="宋体" w:hAnsi="宋体" w:eastAsia="宋体" w:cs="宋体"/>
                <w:b w:val="0"/>
                <w:bCs/>
                <w:color w:val="000000"/>
                <w:kern w:val="0"/>
                <w:szCs w:val="22"/>
                <w:lang w:bidi="ar"/>
              </w:rPr>
              <w:t>高级版</w:t>
            </w:r>
          </w:p>
        </w:tc>
        <w:tc>
          <w:tcPr>
            <w:tcW w:w="1454" w:type="dxa"/>
            <w:tcBorders>
              <w:top w:val="nil"/>
              <w:left w:val="nil"/>
              <w:bottom w:val="single" w:color="000000" w:sz="12" w:space="0"/>
              <w:right w:val="nil"/>
            </w:tcBorders>
            <w:shd w:val="clear" w:color="auto" w:fill="auto"/>
            <w:vAlign w:val="center"/>
          </w:tcPr>
          <w:p w14:paraId="31F3F774">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2999元/年</w:t>
            </w:r>
          </w:p>
        </w:tc>
        <w:tc>
          <w:tcPr>
            <w:tcW w:w="3819" w:type="dxa"/>
            <w:tcBorders>
              <w:top w:val="nil"/>
              <w:left w:val="nil"/>
              <w:bottom w:val="single" w:color="000000" w:sz="12" w:space="0"/>
              <w:right w:val="nil"/>
            </w:tcBorders>
            <w:shd w:val="clear" w:color="auto" w:fill="auto"/>
            <w:vAlign w:val="center"/>
          </w:tcPr>
          <w:p w14:paraId="344746D2">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API接口对接、跨平台数据归集、定制化报告编制、专属客服响应、年度碳效诊断分析、大促订单批量核算</w:t>
            </w:r>
          </w:p>
        </w:tc>
        <w:tc>
          <w:tcPr>
            <w:tcW w:w="2211" w:type="dxa"/>
            <w:tcBorders>
              <w:top w:val="nil"/>
              <w:left w:val="nil"/>
              <w:bottom w:val="single" w:color="000000" w:sz="12" w:space="0"/>
              <w:right w:val="nil"/>
            </w:tcBorders>
            <w:shd w:val="clear" w:color="auto" w:fill="auto"/>
            <w:vAlign w:val="center"/>
          </w:tcPr>
          <w:p w14:paraId="3A438DFF">
            <w:pPr>
              <w:keepNext w:val="0"/>
              <w:keepLines w:val="0"/>
              <w:pageBreakBefore w:val="0"/>
              <w:widowControl/>
              <w:kinsoku/>
              <w:wordWrap/>
              <w:overflowPunct/>
              <w:topLinePunct w:val="0"/>
              <w:autoSpaceDE/>
              <w:autoSpaceDN/>
              <w:bidi w:val="0"/>
              <w:adjustRightInd/>
              <w:snapToGrid w:val="0"/>
              <w:ind w:firstLine="0" w:firstLineChars="0"/>
              <w:jc w:val="center"/>
              <w:textAlignment w:val="center"/>
              <w:rPr>
                <w:rFonts w:hint="eastAsia" w:ascii="宋体" w:hAnsi="宋体" w:eastAsia="宋体" w:cs="宋体"/>
                <w:b w:val="0"/>
                <w:color w:val="000000"/>
                <w:kern w:val="24"/>
                <w:sz w:val="24"/>
                <w:szCs w:val="22"/>
                <w:lang w:val="en-US" w:eastAsia="zh-CN" w:bidi="ar-SA"/>
              </w:rPr>
            </w:pPr>
            <w:r>
              <w:rPr>
                <w:rFonts w:hint="eastAsia" w:ascii="宋体" w:hAnsi="宋体" w:eastAsia="宋体" w:cs="宋体"/>
                <w:b w:val="0"/>
                <w:color w:val="000000"/>
                <w:kern w:val="0"/>
                <w:szCs w:val="22"/>
                <w:lang w:bidi="ar"/>
              </w:rPr>
              <w:t>多平台经营、年营收 500万以上的中大型电商商家</w:t>
            </w:r>
          </w:p>
        </w:tc>
      </w:tr>
    </w:tbl>
    <w:p w14:paraId="54CB5ED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通过永久免费版快速积累海量电商商家用户，降低市场获客门槛；依托标准化付费版本，为有合规申报、绿色运营、融资对接需求的电商商家提供进阶服务，实现核心现金流收入。该模式轻资产、可复制，贴合电商中小企业轻量化运营的核心特点，用户付费意愿稳定，具备极强的抗风险能力。</w:t>
      </w:r>
    </w:p>
    <w:p w14:paraId="2CA25A1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17" w:name="_Toc21758"/>
      <w:r>
        <w:rPr>
          <w:rFonts w:hint="eastAsia" w:ascii="黑体" w:hAnsi="黑体" w:eastAsia="黑体" w:cs="黑体"/>
          <w:lang w:val="en-US" w:eastAsia="zh-CN"/>
        </w:rPr>
        <w:t>7.2.2增值服务收入</w:t>
      </w:r>
      <w:bookmarkEnd w:id="117"/>
    </w:p>
    <w:p w14:paraId="1BCFA56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增值服务收入是项目的高利润增长点，针对电商中小企业的进阶个性化需求，围绕电商经营全场景，提供定制化专业服务，实现超额利润。</w:t>
      </w:r>
    </w:p>
    <w:p w14:paraId="76B3C475">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ESG合规咨询服务定价1999元/次，为电商商家提供ESG合规报告审核修改、头部电商平台绿色商家认证申报一对一指导、政策合规答疑、大促减碳订单申报辅助等服务，解决电商商家合规实操中的个性化难题。</w:t>
      </w:r>
    </w:p>
    <w:p w14:paraId="0DD10AB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按电商店铺规模、经营品类与订单量，定价5000-20000元/套，结合商家订单履约、物流配送、包装耗材、仓储运营全链路数据，输出专属减碳路径与绿色运营优化方案，助力商家降低能耗成本、提升绿色评级、获取平台绿色流量倾斜，适配有精细化绿色运营需求的电商商家。</w:t>
      </w:r>
    </w:p>
    <w:p w14:paraId="3A54E062">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18" w:name="_Toc3007"/>
      <w:r>
        <w:rPr>
          <w:rFonts w:hint="eastAsia" w:ascii="黑体" w:hAnsi="黑体" w:eastAsia="黑体" w:cs="黑体"/>
          <w:lang w:val="en-US" w:eastAsia="zh-CN"/>
        </w:rPr>
        <w:t>7.2.3绿色金融对接分润收入</w:t>
      </w:r>
      <w:bookmarkEnd w:id="118"/>
    </w:p>
    <w:p w14:paraId="3AB2E40D">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绿色金融对接分润收入是项目的生态化变现来源，完全沿用项目原有金融对接盈利逻辑，依托海量电商商家用户资源与绿色信贷市场红利，搭建金融机构与电商中小企业的对接桥梁，实现商业变现，打通“ESG合规数据→绿色信用资产→融资资金”的价值转化闭环。</w:t>
      </w:r>
    </w:p>
    <w:p w14:paraId="7980450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项目与国有银行、股份制银行、地方农商行、绿色金融机构签订长期分润协议，接入电商专项绿色信贷、绿色保险、供应链金融、碳减排质押融资等产品池；基于平台 ESG 核算数据，为电商商家智能匹配适配的绿色金融产品，协助商家完成融资申请；商家成功获批融资后，项目向合作金融机构收取融资额度 1%-3% 的服务佣金，建立绿色金融推荐返佣长效机制。</w:t>
      </w:r>
    </w:p>
    <w:p w14:paraId="297D5C1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该模式既解决了电商中小企业融资难的核心痛点，又为金融机构降低了尽调成本与风控风险，实现商家、金融机构、平台三方共赢，依托我国超 40 万亿的绿色贷款市场规模，具备极其广阔的市场空间与盈利潜力。</w:t>
      </w:r>
    </w:p>
    <w:p w14:paraId="1FF96E24">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19" w:name="_Toc5797"/>
      <w:r>
        <w:rPr>
          <w:rFonts w:hint="eastAsia" w:ascii="黑体" w:hAnsi="黑体" w:eastAsia="黑体" w:cs="黑体"/>
          <w:lang w:val="en-US" w:eastAsia="zh-CN"/>
        </w:rPr>
        <w:t>7.2.4数据资产增值服务收入</w:t>
      </w:r>
      <w:bookmarkEnd w:id="119"/>
    </w:p>
    <w:p w14:paraId="1A3F26D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数据资产增值服务收入是项目的长期盈利增长点，沿用项目原有大数据资产变现模式，基于平台长期沉淀的电商全品类、全区域商家的ESG数据、碳排放数据、绿色运营数据，构建电商行业绿色发展核心数据库，实现数据资产的二次变现，具备边际成本低、盈利天花板高的核心特点。</w:t>
      </w:r>
    </w:p>
    <w:p w14:paraId="31C4B938">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具体盈利方向包括：提供商家绿色评级数据支撑、电商行业碳排监测分析报告，收取年度数据服务费；提供电商行业碳排放统计、绿色转型发展监测数据服务，承接政府专项课题与数据服务采购；提供电商企业 ESG 尽调数据报告、供应链商家绿色资质筛查服务，按项目收取定制化服务费；提供包装耗材、物流运输的行业碳效对标数据服务，收取定制化数据分析费用。</w:t>
      </w:r>
    </w:p>
    <w:p w14:paraId="4AB7BA8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20" w:name="_Toc26278"/>
      <w:r>
        <w:rPr>
          <w:rFonts w:hint="eastAsia" w:ascii="黑体" w:hAnsi="黑体" w:eastAsia="黑体" w:cs="黑体"/>
          <w:b w:val="0"/>
          <w:bCs w:val="0"/>
          <w:sz w:val="28"/>
          <w:szCs w:val="240"/>
          <w:lang w:val="en-US" w:eastAsia="zh-CN"/>
        </w:rPr>
        <w:t>7.3盈利模式核心优势</w:t>
      </w:r>
      <w:bookmarkEnd w:id="120"/>
    </w:p>
    <w:p w14:paraId="50C73EC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严格遵循项目原有“基础服务引流、专业服务盈利”的分层利润策略，通过免费版实现用户规模快速扩张，依托标准化订阅服务保障稳定现金流，通过高附加值增值服务与生态分润获取超额利润，形成“引流 - 稳盘 - 提利”的完整盈利闭环。</w:t>
      </w:r>
    </w:p>
    <w:p w14:paraId="185D430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所有盈利产品均针对电商中小企业的经营场景、付费能力与核心需求设计，区别于通用型ESG服务，具备极强的场景适配性与用户粘性，与项目原有商业定位高度契合。</w:t>
      </w:r>
    </w:p>
    <w:p w14:paraId="76F9BF6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核心盈利均基于SaaS云端服务，无需线下重资产投入，边际成本极低，可快速实现对全国电商产业带的规模化覆盖，符合项目轻量化运营的核心逻辑。</w:t>
      </w:r>
    </w:p>
    <w:p w14:paraId="4DA84DB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sectPr>
          <w:pgSz w:w="11906" w:h="16838"/>
          <w:pgMar w:top="1417" w:right="1531" w:bottom="1417" w:left="1531" w:header="851" w:footer="992" w:gutter="0"/>
          <w:pgNumType w:fmt="decimal"/>
          <w:cols w:space="0" w:num="1"/>
          <w:rtlGutter w:val="0"/>
          <w:docGrid w:type="linesAndChars" w:linePitch="378" w:charSpace="5734"/>
        </w:sectPr>
      </w:pPr>
      <w:r>
        <w:rPr>
          <w:rFonts w:hint="eastAsia" w:asciiTheme="minorEastAsia" w:hAnsiTheme="minorEastAsia" w:eastAsiaTheme="minorEastAsia" w:cstheme="minorEastAsia"/>
          <w:b w:val="0"/>
          <w:bCs w:val="0"/>
          <w:lang w:val="en-US" w:eastAsia="zh-CN"/>
        </w:rPr>
        <w:t>从基础工具服务到生态化、数据化变现，盈利模式伴随用户规模增长与数据沉淀持续升级，具备长期的盈利增长空间与市场想象力，与项目全周期发展规划完全匹配。</w:t>
      </w:r>
    </w:p>
    <w:p w14:paraId="2132DAB3">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121" w:name="_Toc27131"/>
      <w:r>
        <w:rPr>
          <w:rFonts w:hint="eastAsia"/>
          <w:lang w:val="en-US" w:eastAsia="zh-CN"/>
        </w:rPr>
        <w:t>第八章 投资与财务分析</w:t>
      </w:r>
      <w:bookmarkEnd w:id="121"/>
    </w:p>
    <w:p w14:paraId="04E0C78B">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22" w:name="_Toc30113"/>
      <w:r>
        <w:rPr>
          <w:rFonts w:hint="eastAsia" w:ascii="黑体" w:hAnsi="黑体" w:eastAsia="黑体" w:cs="黑体"/>
          <w:b w:val="0"/>
          <w:bCs w:val="0"/>
          <w:sz w:val="28"/>
          <w:szCs w:val="240"/>
          <w:lang w:val="en-US" w:eastAsia="zh-CN"/>
        </w:rPr>
        <w:t>8.1 财务假设</w:t>
      </w:r>
      <w:bookmarkEnd w:id="122"/>
    </w:p>
    <w:p w14:paraId="5DC93AA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本项目财务预测基于国家现行法律法规、企业会计准则及行业发展情况，结合项目实际运营规划，做出以下合理假设：</w:t>
      </w:r>
    </w:p>
    <w:p w14:paraId="7C11C54C">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税收政策：</w:t>
      </w:r>
      <w:r>
        <w:rPr>
          <w:rFonts w:hint="eastAsia" w:asciiTheme="minorEastAsia" w:hAnsiTheme="minorEastAsia" w:eastAsiaTheme="minorEastAsia" w:cstheme="minorEastAsia"/>
          <w:b w:val="0"/>
          <w:bCs w:val="0"/>
          <w:lang w:val="en-US" w:eastAsia="zh-CN"/>
        </w:rPr>
        <w:t>本项目为大学生创新创业项目，享受小微企业税收优惠政策，应纳税所得额300万元以内部分，企业所得税实际征收率为5%；增值税小规模纳税人适用3%征收率减按1%征收，月销售额10万元以下免征增值税；城市维护建设税7%、教育费附加3%、地方教育附加2%，按实际缴纳的增值税额计征。</w:t>
      </w:r>
    </w:p>
    <w:p w14:paraId="3BF09D20">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基准折现率：</w:t>
      </w:r>
      <w:r>
        <w:rPr>
          <w:rFonts w:hint="eastAsia" w:asciiTheme="minorEastAsia" w:hAnsiTheme="minorEastAsia" w:eastAsiaTheme="minorEastAsia" w:cstheme="minorEastAsia"/>
          <w:b w:val="0"/>
          <w:bCs w:val="0"/>
          <w:lang w:val="en-US" w:eastAsia="zh-CN"/>
        </w:rPr>
        <w:t>参考行业通用标准及同期市场无风险收益率，本项目基准折现率设定为10%。</w:t>
      </w:r>
    </w:p>
    <w:p w14:paraId="6B296084">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利润分配：</w:t>
      </w:r>
      <w:r>
        <w:rPr>
          <w:rFonts w:hint="eastAsia" w:asciiTheme="minorEastAsia" w:hAnsiTheme="minorEastAsia" w:eastAsiaTheme="minorEastAsia" w:cstheme="minorEastAsia"/>
          <w:b w:val="0"/>
          <w:bCs w:val="0"/>
          <w:lang w:val="en-US" w:eastAsia="zh-CN"/>
        </w:rPr>
        <w:t>按照净利润10%提取法定盈余公积金，按照净利润5%提取任意盈余公积金，剩余未分配利润用于项目后续运营与市场拓展。</w:t>
      </w:r>
    </w:p>
    <w:p w14:paraId="379952BE">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贷款利率：</w:t>
      </w:r>
      <w:r>
        <w:rPr>
          <w:rFonts w:hint="eastAsia" w:asciiTheme="minorEastAsia" w:hAnsiTheme="minorEastAsia" w:eastAsiaTheme="minorEastAsia" w:cstheme="minorEastAsia"/>
          <w:b w:val="0"/>
          <w:bCs w:val="0"/>
          <w:lang w:val="en-US" w:eastAsia="zh-CN"/>
        </w:rPr>
        <w:t>参考同期LPR及商业银行普惠型小微企业贷款利率，短期（1年内）贷款利率设定为4.2%，中长期（1-5年）贷款利率设定为4.6%。</w:t>
      </w:r>
    </w:p>
    <w:p w14:paraId="2CEFE915">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经营周期：</w:t>
      </w:r>
      <w:r>
        <w:rPr>
          <w:rFonts w:hint="eastAsia" w:asciiTheme="minorEastAsia" w:hAnsiTheme="minorEastAsia" w:eastAsiaTheme="minorEastAsia" w:cstheme="minorEastAsia"/>
          <w:b w:val="0"/>
          <w:bCs w:val="0"/>
          <w:lang w:val="en-US" w:eastAsia="zh-CN"/>
        </w:rPr>
        <w:t>以自然年为一个完整经营周期，项目运营周期按5年预测，各项收入、成本、费用均按权责发生制核算。</w:t>
      </w:r>
    </w:p>
    <w:p w14:paraId="40983E02">
      <w:pPr>
        <w:keepNext w:val="0"/>
        <w:keepLines w:val="0"/>
        <w:pageBreakBefore w:val="0"/>
        <w:widowControl w:val="0"/>
        <w:numPr>
          <w:ilvl w:val="0"/>
          <w:numId w:val="33"/>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坏账准备：</w:t>
      </w:r>
      <w:r>
        <w:rPr>
          <w:rFonts w:hint="eastAsia" w:asciiTheme="minorEastAsia" w:hAnsiTheme="minorEastAsia" w:eastAsiaTheme="minorEastAsia" w:cstheme="minorEastAsia"/>
          <w:b w:val="0"/>
          <w:bCs w:val="0"/>
          <w:lang w:val="en-US" w:eastAsia="zh-CN"/>
        </w:rPr>
        <w:t>应收账款按年末余额的5%计提坏账准备，应收金融机构分润款项坏账计提比例为2%。</w:t>
      </w:r>
    </w:p>
    <w:p w14:paraId="0A6805F1">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23" w:name="_Toc682"/>
      <w:r>
        <w:rPr>
          <w:rFonts w:hint="eastAsia" w:ascii="黑体" w:hAnsi="黑体" w:eastAsia="黑体" w:cs="黑体"/>
          <w:b w:val="0"/>
          <w:bCs w:val="0"/>
          <w:sz w:val="28"/>
          <w:szCs w:val="240"/>
          <w:lang w:val="en-US" w:eastAsia="zh-CN"/>
        </w:rPr>
        <w:t>8.2 财务预算</w:t>
      </w:r>
      <w:bookmarkEnd w:id="123"/>
    </w:p>
    <w:p w14:paraId="689C5527">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24" w:name="_Toc14548"/>
      <w:r>
        <w:rPr>
          <w:rFonts w:hint="eastAsia" w:ascii="黑体" w:hAnsi="黑体" w:eastAsia="黑体" w:cs="黑体"/>
          <w:lang w:val="en-US" w:eastAsia="zh-CN"/>
        </w:rPr>
        <w:t>8.2.1 “碳账本”全面预算体系</w:t>
      </w:r>
      <w:bookmarkEnd w:id="124"/>
    </w:p>
    <w:p w14:paraId="3B70BEFD">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本项目核心收入来源于SaaS订阅服务、增值服务、绿色金融对接分润、数据资产增值服务四大板块，结合项目全周期实施计划，按项目启动期、成长期、发展期三个阶段，编制前三年分季度核心销售预算数据摘要。</w:t>
      </w:r>
    </w:p>
    <w:p w14:paraId="2598F8EA">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6</w:t>
      </w:r>
      <w:r>
        <w:rPr>
          <w:rFonts w:hint="eastAsia" w:asciiTheme="majorEastAsia" w:hAnsiTheme="majorEastAsia" w:eastAsiaTheme="majorEastAsia" w:cstheme="majorEastAsia"/>
          <w:b/>
          <w:bCs/>
        </w:rPr>
        <w:fldChar w:fldCharType="end"/>
      </w:r>
      <w:bookmarkStart w:id="125" w:name="_Toc29436"/>
      <w:r>
        <w:rPr>
          <w:rFonts w:hint="eastAsia" w:asciiTheme="majorEastAsia" w:hAnsiTheme="majorEastAsia" w:eastAsiaTheme="majorEastAsia" w:cstheme="majorEastAsia"/>
          <w:b/>
          <w:bCs/>
          <w:lang w:eastAsia="zh-CN"/>
        </w:rPr>
        <w:t xml:space="preserve"> 第一年（启动期）产品销售预测</w:t>
      </w:r>
      <w:bookmarkEnd w:id="125"/>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264"/>
        <w:gridCol w:w="1264"/>
        <w:gridCol w:w="1264"/>
        <w:gridCol w:w="1264"/>
        <w:gridCol w:w="1264"/>
        <w:gridCol w:w="1264"/>
        <w:gridCol w:w="1264"/>
      </w:tblGrid>
      <w:tr w14:paraId="702ADB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626C5C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项目</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F6791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分季度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2EC70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SaaS订阅收入（元）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477BE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增值服务收入（元）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F6F2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金融对接分润收入（元）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09ADE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季度合计营业收入（元）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11BBB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季度营业成本（元）</w:t>
            </w:r>
          </w:p>
        </w:tc>
      </w:tr>
      <w:tr w14:paraId="4733C3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E8EDC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一季度</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5625F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B979B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3E4A1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2245D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6061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13091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120000</w:t>
            </w:r>
          </w:p>
        </w:tc>
      </w:tr>
      <w:tr w14:paraId="1C591B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6ADE3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8703D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310B1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D1A51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384FA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EE64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2AB46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120000</w:t>
            </w:r>
          </w:p>
        </w:tc>
      </w:tr>
      <w:tr w14:paraId="5025FA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042A2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二季度</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A6787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22716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8DBCE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F7A4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32AB2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BD534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r>
    </w:tbl>
    <w:p w14:paraId="454BB0B8">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续表 6 第一年（启动期）产品销售预测</w:t>
      </w:r>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264"/>
        <w:gridCol w:w="1264"/>
        <w:gridCol w:w="1264"/>
        <w:gridCol w:w="1264"/>
        <w:gridCol w:w="1264"/>
        <w:gridCol w:w="1264"/>
        <w:gridCol w:w="1264"/>
      </w:tblGrid>
      <w:tr w14:paraId="43C0F4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0BAFB3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项目</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89092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分季度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DAC68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SaaS订阅收入（元）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DC385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增值服务收入（元）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309F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金融对接分润收入（元）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E955E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季度合计营业收入（元）</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61C73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季度营业成本（元）</w:t>
            </w:r>
          </w:p>
        </w:tc>
      </w:tr>
      <w:tr w14:paraId="45694A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25653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B4237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B9396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24975</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DBF80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4997</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C04A8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B6A0A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32972</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D9E9D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r>
      <w:tr w14:paraId="020A5A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E9CAA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三季度</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7E72AC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F9995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4ECBD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30A40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1F42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4A061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25000</w:t>
            </w:r>
          </w:p>
        </w:tc>
      </w:tr>
      <w:tr w14:paraId="1D7992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6D192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0C2B70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01FD02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74925</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05E500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19990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4A075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60100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106915</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7FFE9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25000</w:t>
            </w:r>
          </w:p>
        </w:tc>
      </w:tr>
      <w:tr w14:paraId="1B3357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7C962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四季度</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DCEAC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3595A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6548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45</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45108D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B54A4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00914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r>
      <w:tr w14:paraId="0652FD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6F668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34CC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0978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149850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AE802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44977</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8DCC9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662A9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224827</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CB7D8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r>
    </w:tbl>
    <w:p w14:paraId="7E25A66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注：① 营业成本主要包含平台开发与迭代费用、云服务器租赁费用、数据接口授权费用、内容与模型训练成本，其中一季度为项目初始开发核心投入，后续季度为日常运维与迭代成本；② SaaS订阅收入按标准版999元/年、高级版2999元/年加权平均测算，增值服务按1999元/次均价测算，金融分润按融资额度2%的平均佣金率测算。</w:t>
      </w:r>
    </w:p>
    <w:p w14:paraId="1E5B09A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7</w:t>
      </w:r>
      <w:r>
        <w:rPr>
          <w:rFonts w:hint="eastAsia" w:asciiTheme="majorEastAsia" w:hAnsiTheme="majorEastAsia" w:eastAsiaTheme="majorEastAsia" w:cstheme="majorEastAsia"/>
          <w:b/>
          <w:bCs/>
        </w:rPr>
        <w:fldChar w:fldCharType="end"/>
      </w:r>
      <w:bookmarkStart w:id="126" w:name="_Toc5975"/>
      <w:r>
        <w:rPr>
          <w:rFonts w:hint="eastAsia" w:asciiTheme="majorEastAsia" w:hAnsiTheme="majorEastAsia" w:eastAsiaTheme="majorEastAsia" w:cstheme="majorEastAsia"/>
          <w:b/>
          <w:bCs/>
          <w:lang w:eastAsia="zh-CN"/>
        </w:rPr>
        <w:t xml:space="preserve"> 第二年（成长期）产品销售预测</w:t>
      </w:r>
      <w:bookmarkEnd w:id="126"/>
    </w:p>
    <w:tbl>
      <w:tblPr>
        <w:tblStyle w:val="12"/>
        <w:tblW w:w="884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06"/>
        <w:gridCol w:w="1337"/>
        <w:gridCol w:w="980"/>
        <w:gridCol w:w="1001"/>
        <w:gridCol w:w="1106"/>
        <w:gridCol w:w="1106"/>
        <w:gridCol w:w="1106"/>
        <w:gridCol w:w="1106"/>
      </w:tblGrid>
      <w:tr w14:paraId="1599A9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5604A7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项目</w:t>
            </w:r>
          </w:p>
        </w:tc>
        <w:tc>
          <w:tcPr>
            <w:tcW w:w="133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76D5B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分季度</w:t>
            </w:r>
          </w:p>
        </w:tc>
        <w:tc>
          <w:tcPr>
            <w:tcW w:w="980"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52FC3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SaaS订阅收入（元）</w:t>
            </w:r>
          </w:p>
        </w:tc>
        <w:tc>
          <w:tcPr>
            <w:tcW w:w="1001"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AF545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增值服务收入（元）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CC06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金融对接分润收入（元）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51039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数据服务收入（元）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A5DD8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季度合计营业收入（元）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F1B2E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季度营业成本（元）</w:t>
            </w:r>
          </w:p>
        </w:tc>
      </w:tr>
      <w:tr w14:paraId="3CE5A5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F98E9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一季度</w:t>
            </w:r>
          </w:p>
        </w:tc>
        <w:tc>
          <w:tcPr>
            <w:tcW w:w="133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BE989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980"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13B52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500</w:t>
            </w:r>
          </w:p>
        </w:tc>
        <w:tc>
          <w:tcPr>
            <w:tcW w:w="1001"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0B2CE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60</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616D5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7C552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FB592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850E9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284852</w:t>
            </w:r>
          </w:p>
        </w:tc>
      </w:tr>
      <w:tr w14:paraId="108086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BAE92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337" w:type="dxa"/>
            <w:tcBorders>
              <w:top w:val="nil"/>
              <w:left w:val="nil"/>
              <w:bottom w:val="nil"/>
              <w:right w:val="nil"/>
            </w:tcBorders>
            <w:shd w:val="clear" w:color="auto" w:fill="auto"/>
            <w:tcMar>
              <w:top w:w="60" w:type="dxa"/>
              <w:left w:w="120" w:type="dxa"/>
              <w:bottom w:w="30" w:type="dxa"/>
              <w:right w:w="120" w:type="dxa"/>
            </w:tcMar>
            <w:vAlign w:val="center"/>
          </w:tcPr>
          <w:p w14:paraId="7E7BAF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980" w:type="dxa"/>
            <w:tcBorders>
              <w:top w:val="nil"/>
              <w:left w:val="nil"/>
              <w:bottom w:val="nil"/>
              <w:right w:val="nil"/>
            </w:tcBorders>
            <w:shd w:val="clear" w:color="auto" w:fill="auto"/>
            <w:tcMar>
              <w:top w:w="60" w:type="dxa"/>
              <w:left w:w="120" w:type="dxa"/>
              <w:bottom w:w="30" w:type="dxa"/>
              <w:right w:w="120" w:type="dxa"/>
            </w:tcMar>
            <w:vAlign w:val="center"/>
          </w:tcPr>
          <w:p w14:paraId="5B852B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249750</w:t>
            </w:r>
          </w:p>
        </w:tc>
        <w:tc>
          <w:tcPr>
            <w:tcW w:w="1001" w:type="dxa"/>
            <w:tcBorders>
              <w:top w:val="nil"/>
              <w:left w:val="nil"/>
              <w:bottom w:val="nil"/>
              <w:right w:val="nil"/>
            </w:tcBorders>
            <w:shd w:val="clear" w:color="auto" w:fill="auto"/>
            <w:tcMar>
              <w:top w:w="60" w:type="dxa"/>
              <w:left w:w="120" w:type="dxa"/>
              <w:bottom w:w="30" w:type="dxa"/>
              <w:right w:w="120" w:type="dxa"/>
            </w:tcMar>
            <w:vAlign w:val="center"/>
          </w:tcPr>
          <w:p w14:paraId="35AD11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59970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E113D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52500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27001E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CB31A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370220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26D98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30000</w:t>
            </w:r>
          </w:p>
        </w:tc>
      </w:tr>
      <w:tr w14:paraId="5F5D8C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DD53F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二季度</w:t>
            </w:r>
          </w:p>
        </w:tc>
        <w:tc>
          <w:tcPr>
            <w:tcW w:w="1337" w:type="dxa"/>
            <w:tcBorders>
              <w:top w:val="nil"/>
              <w:left w:val="nil"/>
              <w:bottom w:val="nil"/>
              <w:right w:val="nil"/>
            </w:tcBorders>
            <w:shd w:val="clear" w:color="auto" w:fill="auto"/>
            <w:tcMar>
              <w:top w:w="60" w:type="dxa"/>
              <w:left w:w="120" w:type="dxa"/>
              <w:bottom w:w="30" w:type="dxa"/>
              <w:right w:w="120" w:type="dxa"/>
            </w:tcMar>
            <w:vAlign w:val="center"/>
          </w:tcPr>
          <w:p w14:paraId="7498B6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980" w:type="dxa"/>
            <w:tcBorders>
              <w:top w:val="nil"/>
              <w:left w:val="nil"/>
              <w:bottom w:val="nil"/>
              <w:right w:val="nil"/>
            </w:tcBorders>
            <w:shd w:val="clear" w:color="auto" w:fill="auto"/>
            <w:tcMar>
              <w:top w:w="60" w:type="dxa"/>
              <w:left w:w="120" w:type="dxa"/>
              <w:bottom w:w="30" w:type="dxa"/>
              <w:right w:w="120" w:type="dxa"/>
            </w:tcMar>
            <w:vAlign w:val="center"/>
          </w:tcPr>
          <w:p w14:paraId="1D9CB5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700</w:t>
            </w:r>
          </w:p>
        </w:tc>
        <w:tc>
          <w:tcPr>
            <w:tcW w:w="1001" w:type="dxa"/>
            <w:tcBorders>
              <w:top w:val="nil"/>
              <w:left w:val="nil"/>
              <w:bottom w:val="nil"/>
              <w:right w:val="nil"/>
            </w:tcBorders>
            <w:shd w:val="clear" w:color="auto" w:fill="auto"/>
            <w:tcMar>
              <w:top w:w="60" w:type="dxa"/>
              <w:left w:w="120" w:type="dxa"/>
              <w:bottom w:w="30" w:type="dxa"/>
              <w:right w:w="120" w:type="dxa"/>
            </w:tcMar>
            <w:vAlign w:val="center"/>
          </w:tcPr>
          <w:p w14:paraId="41B1A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85</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B79D0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AF19C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2CF1E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64BBF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399725</w:t>
            </w:r>
          </w:p>
        </w:tc>
      </w:tr>
      <w:tr w14:paraId="32CFDF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222A60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337" w:type="dxa"/>
            <w:tcBorders>
              <w:top w:val="nil"/>
              <w:left w:val="nil"/>
              <w:bottom w:val="nil"/>
              <w:right w:val="nil"/>
            </w:tcBorders>
            <w:shd w:val="clear" w:color="auto" w:fill="auto"/>
            <w:tcMar>
              <w:top w:w="60" w:type="dxa"/>
              <w:left w:w="120" w:type="dxa"/>
              <w:bottom w:w="30" w:type="dxa"/>
              <w:right w:w="120" w:type="dxa"/>
            </w:tcMar>
            <w:vAlign w:val="center"/>
          </w:tcPr>
          <w:p w14:paraId="036F37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980" w:type="dxa"/>
            <w:tcBorders>
              <w:top w:val="nil"/>
              <w:left w:val="nil"/>
              <w:bottom w:val="nil"/>
              <w:right w:val="nil"/>
            </w:tcBorders>
            <w:shd w:val="clear" w:color="auto" w:fill="auto"/>
            <w:tcMar>
              <w:top w:w="60" w:type="dxa"/>
              <w:left w:w="120" w:type="dxa"/>
              <w:bottom w:w="30" w:type="dxa"/>
              <w:right w:w="120" w:type="dxa"/>
            </w:tcMar>
            <w:vAlign w:val="center"/>
          </w:tcPr>
          <w:p w14:paraId="753DD6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349650</w:t>
            </w:r>
          </w:p>
        </w:tc>
        <w:tc>
          <w:tcPr>
            <w:tcW w:w="1001" w:type="dxa"/>
            <w:tcBorders>
              <w:top w:val="nil"/>
              <w:left w:val="nil"/>
              <w:bottom w:val="nil"/>
              <w:right w:val="nil"/>
            </w:tcBorders>
            <w:shd w:val="clear" w:color="auto" w:fill="auto"/>
            <w:tcMar>
              <w:top w:w="60" w:type="dxa"/>
              <w:left w:w="120" w:type="dxa"/>
              <w:bottom w:w="30" w:type="dxa"/>
              <w:right w:w="120" w:type="dxa"/>
            </w:tcMar>
            <w:vAlign w:val="center"/>
          </w:tcPr>
          <w:p w14:paraId="6C4D44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84957</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F970A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D8F11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D3EF0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524607</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8DE2D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30000</w:t>
            </w:r>
          </w:p>
        </w:tc>
      </w:tr>
      <w:tr w14:paraId="4E81B4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4CC58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三季度</w:t>
            </w:r>
          </w:p>
        </w:tc>
        <w:tc>
          <w:tcPr>
            <w:tcW w:w="1337" w:type="dxa"/>
            <w:tcBorders>
              <w:top w:val="nil"/>
              <w:left w:val="nil"/>
              <w:bottom w:val="nil"/>
              <w:right w:val="nil"/>
            </w:tcBorders>
            <w:shd w:val="clear" w:color="auto" w:fill="auto"/>
            <w:tcMar>
              <w:top w:w="60" w:type="dxa"/>
              <w:left w:w="120" w:type="dxa"/>
              <w:bottom w:w="30" w:type="dxa"/>
              <w:right w:w="120" w:type="dxa"/>
            </w:tcMar>
            <w:vAlign w:val="center"/>
          </w:tcPr>
          <w:p w14:paraId="0E36C3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客户数量（家）</w:t>
            </w:r>
          </w:p>
        </w:tc>
        <w:tc>
          <w:tcPr>
            <w:tcW w:w="980" w:type="dxa"/>
            <w:tcBorders>
              <w:top w:val="nil"/>
              <w:left w:val="nil"/>
              <w:bottom w:val="nil"/>
              <w:right w:val="nil"/>
            </w:tcBorders>
            <w:shd w:val="clear" w:color="auto" w:fill="auto"/>
            <w:tcMar>
              <w:top w:w="60" w:type="dxa"/>
              <w:left w:w="120" w:type="dxa"/>
              <w:bottom w:w="30" w:type="dxa"/>
              <w:right w:w="120" w:type="dxa"/>
            </w:tcMar>
            <w:vAlign w:val="center"/>
          </w:tcPr>
          <w:p w14:paraId="6F803E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900</w:t>
            </w:r>
          </w:p>
        </w:tc>
        <w:tc>
          <w:tcPr>
            <w:tcW w:w="1001" w:type="dxa"/>
            <w:tcBorders>
              <w:top w:val="nil"/>
              <w:left w:val="nil"/>
              <w:bottom w:val="nil"/>
              <w:right w:val="nil"/>
            </w:tcBorders>
            <w:shd w:val="clear" w:color="auto" w:fill="auto"/>
            <w:tcMar>
              <w:top w:w="60" w:type="dxa"/>
              <w:left w:w="120" w:type="dxa"/>
              <w:bottom w:w="30" w:type="dxa"/>
              <w:right w:w="120" w:type="dxa"/>
            </w:tcMar>
            <w:vAlign w:val="center"/>
          </w:tcPr>
          <w:p w14:paraId="34F12C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110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CB8ED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8CA0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B317A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A020C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514598</w:t>
            </w:r>
          </w:p>
        </w:tc>
      </w:tr>
      <w:tr w14:paraId="787FA7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1966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337" w:type="dxa"/>
            <w:tcBorders>
              <w:top w:val="nil"/>
              <w:left w:val="nil"/>
              <w:bottom w:val="nil"/>
              <w:right w:val="nil"/>
            </w:tcBorders>
            <w:shd w:val="clear" w:color="auto" w:fill="auto"/>
            <w:tcMar>
              <w:top w:w="60" w:type="dxa"/>
              <w:left w:w="120" w:type="dxa"/>
              <w:bottom w:w="30" w:type="dxa"/>
              <w:right w:w="120" w:type="dxa"/>
            </w:tcMar>
            <w:vAlign w:val="center"/>
          </w:tcPr>
          <w:p w14:paraId="2D1052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980" w:type="dxa"/>
            <w:tcBorders>
              <w:top w:val="nil"/>
              <w:left w:val="nil"/>
              <w:bottom w:val="nil"/>
              <w:right w:val="nil"/>
            </w:tcBorders>
            <w:shd w:val="clear" w:color="auto" w:fill="auto"/>
            <w:tcMar>
              <w:top w:w="60" w:type="dxa"/>
              <w:left w:w="120" w:type="dxa"/>
              <w:bottom w:w="30" w:type="dxa"/>
              <w:right w:w="120" w:type="dxa"/>
            </w:tcMar>
            <w:vAlign w:val="center"/>
          </w:tcPr>
          <w:p w14:paraId="23A173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449550</w:t>
            </w:r>
          </w:p>
        </w:tc>
        <w:tc>
          <w:tcPr>
            <w:tcW w:w="1001" w:type="dxa"/>
            <w:tcBorders>
              <w:top w:val="nil"/>
              <w:left w:val="nil"/>
              <w:bottom w:val="nil"/>
              <w:right w:val="nil"/>
            </w:tcBorders>
            <w:shd w:val="clear" w:color="auto" w:fill="auto"/>
            <w:tcMar>
              <w:top w:w="60" w:type="dxa"/>
              <w:left w:w="120" w:type="dxa"/>
              <w:bottom w:w="30" w:type="dxa"/>
              <w:right w:w="120" w:type="dxa"/>
            </w:tcMar>
            <w:vAlign w:val="center"/>
          </w:tcPr>
          <w:p w14:paraId="6D8B3E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109945</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E2C8D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FCE27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24000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79FDF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688495</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94AD5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r>
      <w:tr w14:paraId="24FD0C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A1618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四季度</w:t>
            </w:r>
          </w:p>
        </w:tc>
        <w:tc>
          <w:tcPr>
            <w:tcW w:w="133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0F55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客户数量</w:t>
            </w:r>
          </w:p>
        </w:tc>
        <w:tc>
          <w:tcPr>
            <w:tcW w:w="980"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67E93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w:t>
            </w:r>
          </w:p>
        </w:tc>
        <w:tc>
          <w:tcPr>
            <w:tcW w:w="1001"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4DE57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88111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95</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5CB2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7003A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0611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684470</w:t>
            </w:r>
          </w:p>
        </w:tc>
      </w:tr>
    </w:tbl>
    <w:p w14:paraId="3584CE3D">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续表 7 第二年（成长期）产品销售预测</w:t>
      </w:r>
    </w:p>
    <w:tbl>
      <w:tblPr>
        <w:tblStyle w:val="12"/>
        <w:tblW w:w="8848"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06"/>
        <w:gridCol w:w="1337"/>
        <w:gridCol w:w="980"/>
        <w:gridCol w:w="1001"/>
        <w:gridCol w:w="1106"/>
        <w:gridCol w:w="1106"/>
        <w:gridCol w:w="1106"/>
        <w:gridCol w:w="1106"/>
      </w:tblGrid>
      <w:tr w14:paraId="7074DB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1164C6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项目</w:t>
            </w:r>
          </w:p>
        </w:tc>
        <w:tc>
          <w:tcPr>
            <w:tcW w:w="133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16A79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分季度</w:t>
            </w:r>
          </w:p>
        </w:tc>
        <w:tc>
          <w:tcPr>
            <w:tcW w:w="980"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AA7F9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SaaS订阅收入（元）</w:t>
            </w:r>
          </w:p>
        </w:tc>
        <w:tc>
          <w:tcPr>
            <w:tcW w:w="1001"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BD76A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增值服务收入（元）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48C64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金融对接分润收入（元）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9F383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数据服务收入（元）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04702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季度合计营业收入（元）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9DAA7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季度营业成本（元）</w:t>
            </w:r>
          </w:p>
        </w:tc>
      </w:tr>
      <w:tr w14:paraId="7D683D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7B783C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337"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19291F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980"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40462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599400</w:t>
            </w:r>
          </w:p>
        </w:tc>
        <w:tc>
          <w:tcPr>
            <w:tcW w:w="1001"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637971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149850</w:t>
            </w:r>
          </w:p>
        </w:tc>
        <w:tc>
          <w:tcPr>
            <w:tcW w:w="1106"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27F70E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142500</w:t>
            </w:r>
          </w:p>
        </w:tc>
        <w:tc>
          <w:tcPr>
            <w:tcW w:w="1106"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245ED3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36000</w:t>
            </w:r>
          </w:p>
        </w:tc>
        <w:tc>
          <w:tcPr>
            <w:tcW w:w="1106"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600CC7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927750</w:t>
            </w:r>
          </w:p>
        </w:tc>
        <w:tc>
          <w:tcPr>
            <w:tcW w:w="1106"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03FEC5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r>
    </w:tbl>
    <w:p w14:paraId="6D0D8BE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4271EB6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8</w:t>
      </w:r>
      <w:r>
        <w:rPr>
          <w:rFonts w:hint="eastAsia" w:asciiTheme="majorEastAsia" w:hAnsiTheme="majorEastAsia" w:eastAsiaTheme="majorEastAsia" w:cstheme="majorEastAsia"/>
          <w:b/>
          <w:bCs/>
          <w:lang w:val="en-US" w:eastAsia="zh-CN"/>
        </w:rPr>
        <w:fldChar w:fldCharType="end"/>
      </w:r>
      <w:bookmarkStart w:id="127" w:name="_Toc32026"/>
      <w:r>
        <w:rPr>
          <w:rFonts w:hint="eastAsia" w:asciiTheme="majorEastAsia" w:hAnsiTheme="majorEastAsia" w:eastAsiaTheme="majorEastAsia" w:cstheme="majorEastAsia"/>
          <w:b/>
          <w:bCs/>
          <w:lang w:val="en-US" w:eastAsia="zh-CN"/>
        </w:rPr>
        <w:t xml:space="preserve"> 第三年（发展期）产品销售预测</w:t>
      </w:r>
      <w:bookmarkEnd w:id="127"/>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06"/>
        <w:gridCol w:w="1106"/>
        <w:gridCol w:w="1106"/>
        <w:gridCol w:w="1106"/>
        <w:gridCol w:w="1106"/>
        <w:gridCol w:w="1106"/>
        <w:gridCol w:w="1106"/>
        <w:gridCol w:w="1106"/>
      </w:tblGrid>
      <w:tr w14:paraId="56E9FB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2A974B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项目</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5D7C4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分季度</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58FC2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SaaS订阅收入（元）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75833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增值服务收入（元）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49A3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金融对接分润收入（元）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D37D4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数据服务收入（元）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F88F1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季度合计营业收入（元）</w:t>
            </w:r>
          </w:p>
        </w:tc>
        <w:tc>
          <w:tcPr>
            <w:tcW w:w="1106"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BAD8C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季度营业成本（元）</w:t>
            </w:r>
          </w:p>
        </w:tc>
      </w:tr>
      <w:tr w14:paraId="4F5832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9BF6A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一季度</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A697C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客户数量（家）</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8F75F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1600</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C94C4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200</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4F8A6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130</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6314D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18</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D6EC7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w:t>
            </w:r>
          </w:p>
        </w:tc>
        <w:tc>
          <w:tcPr>
            <w:tcW w:w="1106"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85F14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914345</w:t>
            </w:r>
          </w:p>
        </w:tc>
      </w:tr>
      <w:tr w14:paraId="45155E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9FBDC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3D847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营业收入</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0AB1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799200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5D0D8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199800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6193D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195000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22448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54000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468F7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1248000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D6F2A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40000</w:t>
            </w:r>
          </w:p>
        </w:tc>
      </w:tr>
      <w:tr w14:paraId="53FE4F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1235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二季度</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B079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客户数量（家）</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AEE67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2100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7F086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260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0AA1C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170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436B7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25</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3739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A3104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1199192</w:t>
            </w:r>
          </w:p>
        </w:tc>
      </w:tr>
      <w:tr w14:paraId="2706D8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68BD4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15378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营业收入</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242C3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1048950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DAE6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259740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2731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255000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A250D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75000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28F1D4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1638690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210A9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40000</w:t>
            </w:r>
          </w:p>
        </w:tc>
      </w:tr>
      <w:tr w14:paraId="5B2EC6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79C76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三季度</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395CF1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客户数量（家）</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146E34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2700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AE9DA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330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0E585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220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FFC35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32</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434061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D8E2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1539040</w:t>
            </w:r>
          </w:p>
        </w:tc>
      </w:tr>
      <w:tr w14:paraId="2C8F67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2746A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2A93F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营业收入</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F7C1A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1348650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98F65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329670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09D71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330000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7EA98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96000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269DF1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2104320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9B664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45000</w:t>
            </w:r>
          </w:p>
        </w:tc>
      </w:tr>
      <w:tr w14:paraId="0983B4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2C03A2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四季度</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CBF90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客户数量（家）</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3A45D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3500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7CF4B6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420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052881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280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BF50D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40</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54DCAE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w:t>
            </w:r>
          </w:p>
        </w:tc>
        <w:tc>
          <w:tcPr>
            <w:tcW w:w="1106" w:type="dxa"/>
            <w:tcBorders>
              <w:top w:val="nil"/>
              <w:left w:val="nil"/>
              <w:bottom w:val="nil"/>
              <w:right w:val="nil"/>
            </w:tcBorders>
            <w:shd w:val="clear" w:color="auto" w:fill="auto"/>
            <w:tcMar>
              <w:top w:w="60" w:type="dxa"/>
              <w:left w:w="120" w:type="dxa"/>
              <w:bottom w:w="30" w:type="dxa"/>
              <w:right w:w="120" w:type="dxa"/>
            </w:tcMar>
            <w:vAlign w:val="center"/>
          </w:tcPr>
          <w:p w14:paraId="6B19FC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1998787</w:t>
            </w:r>
          </w:p>
        </w:tc>
      </w:tr>
      <w:tr w14:paraId="21AAE4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E840B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7FF9A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营业收入</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3F210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1748250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94D1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419580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D233C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420000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ECF43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120000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16653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2707830</w:t>
            </w:r>
          </w:p>
        </w:tc>
        <w:tc>
          <w:tcPr>
            <w:tcW w:w="1106"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3D2C6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45000</w:t>
            </w:r>
          </w:p>
        </w:tc>
      </w:tr>
    </w:tbl>
    <w:p w14:paraId="0B2BAB9C">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28" w:name="_Toc30459"/>
      <w:r>
        <w:rPr>
          <w:rFonts w:hint="eastAsia" w:ascii="黑体" w:hAnsi="黑体" w:eastAsia="黑体" w:cs="黑体"/>
          <w:lang w:val="en-US" w:eastAsia="zh-CN"/>
        </w:rPr>
        <w:t>8.2.2 四项收益五年重要销售预算数据摘要</w:t>
      </w:r>
      <w:bookmarkEnd w:id="128"/>
    </w:p>
    <w:p w14:paraId="14391EF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9</w:t>
      </w:r>
      <w:r>
        <w:rPr>
          <w:rFonts w:hint="eastAsia" w:asciiTheme="majorEastAsia" w:hAnsiTheme="majorEastAsia" w:eastAsiaTheme="majorEastAsia" w:cstheme="majorEastAsia"/>
          <w:b/>
          <w:bCs/>
          <w:lang w:val="en-US" w:eastAsia="zh-CN"/>
        </w:rPr>
        <w:fldChar w:fldCharType="end"/>
      </w:r>
      <w:bookmarkStart w:id="129" w:name="_Toc17990"/>
      <w:r>
        <w:rPr>
          <w:rFonts w:hint="eastAsia" w:asciiTheme="majorEastAsia" w:hAnsiTheme="majorEastAsia" w:eastAsiaTheme="majorEastAsia" w:cstheme="majorEastAsia"/>
          <w:b/>
          <w:bCs/>
          <w:lang w:val="en-US" w:eastAsia="zh-CN"/>
        </w:rPr>
        <w:t xml:space="preserve"> 核心业务板块五年销售预算表（单位：元）</w:t>
      </w:r>
      <w:bookmarkEnd w:id="129"/>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7A203F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0CDE24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SaaS订阅服务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9CB7E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F4EC4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FD294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70C73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D71C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第五年</w:t>
            </w:r>
          </w:p>
        </w:tc>
      </w:tr>
      <w:tr w14:paraId="3F9C54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0255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销售收入</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6672B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249750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09F44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1648450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A551A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4946050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C663B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8500000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989F2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12000000</w:t>
            </w:r>
          </w:p>
        </w:tc>
      </w:tr>
      <w:tr w14:paraId="2AE795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12714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销售成本</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708BF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0D2AC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320000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927B8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550000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20AF9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850000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D3A4E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1200000</w:t>
            </w:r>
          </w:p>
        </w:tc>
      </w:tr>
      <w:tr w14:paraId="7C516A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869C5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增值服务收入</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FFCE6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第一年</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28111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第二年</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D7BA5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第三年</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5B0F7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第四年</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F8983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第五年</w:t>
            </w:r>
          </w:p>
        </w:tc>
      </w:tr>
    </w:tbl>
    <w:p w14:paraId="52CA5B5E">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续表 9 核心业务板块五年销售预算表（单位：元）</w:t>
      </w:r>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5178FD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78FFB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SaaS订阅服务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41F72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F1DE6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B6803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D40B3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A2F44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第五年</w:t>
            </w:r>
          </w:p>
        </w:tc>
      </w:tr>
      <w:tr w14:paraId="7E0922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2E714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销售收入</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A2385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69964</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ADCFE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379722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94812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1209190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10964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2200000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919E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3500000</w:t>
            </w:r>
          </w:p>
        </w:tc>
      </w:tr>
      <w:tr w14:paraId="474139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D76FD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销售成本</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DAA3A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15000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CE5B3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60000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0EDA4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32F21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849CC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380000</w:t>
            </w:r>
          </w:p>
        </w:tc>
      </w:tr>
      <w:tr w14:paraId="62038B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62A92A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金融对接分润收入</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49BED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第一年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49DA17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第二年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538B3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第三年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0F7EF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第四年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53D4E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第五年</w:t>
            </w:r>
          </w:p>
        </w:tc>
      </w:tr>
      <w:tr w14:paraId="1F8064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EB088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销售收入</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58E408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45000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39CA50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345000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54E8DB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1200000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11FC61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2500000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3A6650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4000000</w:t>
            </w:r>
          </w:p>
        </w:tc>
      </w:tr>
      <w:tr w14:paraId="10CD49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4C3A31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销售成本</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246E34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8000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697A19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35000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2C989D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100000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27D3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180000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3DB395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300000</w:t>
            </w:r>
          </w:p>
        </w:tc>
      </w:tr>
      <w:tr w14:paraId="6BD004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56D5C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数据资产增值服务收入</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478358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第一年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0CA9B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第二年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37570A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第三年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24F32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第四年</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43A026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第五年</w:t>
            </w:r>
          </w:p>
        </w:tc>
      </w:tr>
      <w:tr w14:paraId="2F8009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6CF3E0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销售收入</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6B63EA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00C592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83000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0E742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345000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36E4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800000</w:t>
            </w:r>
          </w:p>
        </w:tc>
        <w:tc>
          <w:tcPr>
            <w:tcW w:w="1474" w:type="dxa"/>
            <w:tcBorders>
              <w:top w:val="nil"/>
              <w:left w:val="nil"/>
              <w:bottom w:val="nil"/>
              <w:right w:val="nil"/>
            </w:tcBorders>
            <w:shd w:val="clear" w:color="auto" w:fill="auto"/>
            <w:tcMar>
              <w:top w:w="60" w:type="dxa"/>
              <w:left w:w="120" w:type="dxa"/>
              <w:bottom w:w="30" w:type="dxa"/>
              <w:right w:w="120" w:type="dxa"/>
            </w:tcMar>
            <w:vAlign w:val="top"/>
          </w:tcPr>
          <w:p w14:paraId="7AA78B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1500000</w:t>
            </w:r>
          </w:p>
        </w:tc>
      </w:tr>
      <w:tr w14:paraId="4EDCC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61D763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销售成本</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50B9FE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0B256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15000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3D3220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50000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52FAB4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120000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top"/>
          </w:tcPr>
          <w:p w14:paraId="45EFBD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lang w:val="en-US" w:eastAsia="zh-CN"/>
              </w:rPr>
            </w:pPr>
            <w:r>
              <w:rPr>
                <w:rFonts w:hint="eastAsia" w:asciiTheme="minorEastAsia" w:hAnsiTheme="minorEastAsia" w:eastAsiaTheme="minorEastAsia" w:cstheme="minorEastAsia"/>
                <w:b w:val="0"/>
                <w:color w:val="000000"/>
              </w:rPr>
              <w:t>200000</w:t>
            </w:r>
          </w:p>
        </w:tc>
      </w:tr>
    </w:tbl>
    <w:p w14:paraId="28099D6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1001BAFC">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10</w:t>
      </w:r>
      <w:r>
        <w:rPr>
          <w:rFonts w:hint="eastAsia" w:asciiTheme="majorEastAsia" w:hAnsiTheme="majorEastAsia" w:eastAsiaTheme="majorEastAsia" w:cstheme="majorEastAsia"/>
          <w:b/>
          <w:bCs/>
          <w:lang w:val="en-US" w:eastAsia="zh-CN"/>
        </w:rPr>
        <w:fldChar w:fldCharType="end"/>
      </w:r>
      <w:bookmarkStart w:id="130" w:name="_Toc28509"/>
      <w:r>
        <w:rPr>
          <w:rFonts w:hint="eastAsia" w:asciiTheme="majorEastAsia" w:hAnsiTheme="majorEastAsia" w:eastAsiaTheme="majorEastAsia" w:cstheme="majorEastAsia"/>
          <w:b/>
          <w:bCs/>
          <w:lang w:val="en-US" w:eastAsia="zh-CN"/>
        </w:rPr>
        <w:t xml:space="preserve"> 前五年全业务重要预算数据摘要（单位：元）</w:t>
      </w:r>
      <w:bookmarkEnd w:id="130"/>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7DCCB3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27DD58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D9048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7001E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899DE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BD5A2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C6AC6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第五年</w:t>
            </w:r>
          </w:p>
        </w:tc>
      </w:tr>
      <w:tr w14:paraId="669338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E3D0E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4A800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364714</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BD9BB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2456172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9E56A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7699240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9E8D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14000000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D6ED6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21000000</w:t>
            </w:r>
          </w:p>
        </w:tc>
      </w:tr>
      <w:tr w14:paraId="4528CD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F61B7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营业成本</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CE09C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D8F9B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430000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C9BB7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67A32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0D944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2080000</w:t>
            </w:r>
          </w:p>
        </w:tc>
      </w:tr>
      <w:tr w14:paraId="6C7225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C461E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销售费用</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5DC6F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1CE0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74ECB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6CD44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FB100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1000000</w:t>
            </w:r>
          </w:p>
        </w:tc>
      </w:tr>
      <w:tr w14:paraId="5DA105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F9CDC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管理费用</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1FA93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0E707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180000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B074A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8BE2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450000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91DF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600000</w:t>
            </w:r>
          </w:p>
        </w:tc>
      </w:tr>
      <w:tr w14:paraId="783E0C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B31A8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财务费用</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33AD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CE550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12600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083D5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32200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98B64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58400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7F5B2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86000</w:t>
            </w:r>
          </w:p>
        </w:tc>
      </w:tr>
      <w:tr w14:paraId="58DC77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34D45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税金及附加</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F4D6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1459</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BA0A9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9825</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42FA8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30797</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938B9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56000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B5DEE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84000</w:t>
            </w:r>
          </w:p>
        </w:tc>
      </w:tr>
    </w:tbl>
    <w:p w14:paraId="59BA8D2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26A6A7A5">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11</w:t>
      </w:r>
      <w:r>
        <w:rPr>
          <w:rFonts w:hint="eastAsia" w:asciiTheme="majorEastAsia" w:hAnsiTheme="majorEastAsia" w:eastAsiaTheme="majorEastAsia" w:cstheme="majorEastAsia"/>
          <w:b/>
          <w:bCs/>
          <w:lang w:val="en-US" w:eastAsia="zh-CN"/>
        </w:rPr>
        <w:fldChar w:fldCharType="end"/>
      </w:r>
      <w:bookmarkStart w:id="131" w:name="_Toc5730"/>
      <w:r>
        <w:rPr>
          <w:rFonts w:hint="eastAsia" w:asciiTheme="majorEastAsia" w:hAnsiTheme="majorEastAsia" w:eastAsiaTheme="majorEastAsia" w:cstheme="majorEastAsia"/>
          <w:b/>
          <w:bCs/>
          <w:lang w:val="en-US" w:eastAsia="zh-CN"/>
        </w:rPr>
        <w:t xml:space="preserve"> 第一年（启动期）分季度重要财务预算数据摘要（单位：元）</w:t>
      </w:r>
      <w:bookmarkEnd w:id="131"/>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769"/>
        <w:gridCol w:w="1769"/>
        <w:gridCol w:w="1769"/>
        <w:gridCol w:w="1769"/>
        <w:gridCol w:w="1769"/>
      </w:tblGrid>
      <w:tr w14:paraId="410874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769"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62F342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CC18E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5FF2F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8ADD5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C5A87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第四季度</w:t>
            </w:r>
          </w:p>
        </w:tc>
      </w:tr>
      <w:tr w14:paraId="450CE2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94F11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营业收入</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E1381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1AD98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32972</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D43E8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106915</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47BD3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224827</w:t>
            </w:r>
          </w:p>
        </w:tc>
      </w:tr>
      <w:tr w14:paraId="694AB3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007D0B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营业成本</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0DB5B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8A1CC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0C5840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25000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38A80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r>
      <w:tr w14:paraId="5698CD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439485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销售费用</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C9B82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40000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F7C7C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2B9615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38000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A4B6D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37000</w:t>
            </w:r>
          </w:p>
        </w:tc>
      </w:tr>
      <w:tr w14:paraId="0F0EDE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0E4B0E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管理费用</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CA4CB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0D5148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7E0F63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3EDBD1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r>
      <w:tr w14:paraId="6F0598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0FE0E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财务费用</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67007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68D2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C8375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FDFC0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r>
    </w:tbl>
    <w:p w14:paraId="345545D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4B50C32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325F6D3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0911BCE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12</w:t>
      </w:r>
      <w:r>
        <w:rPr>
          <w:rFonts w:hint="eastAsia" w:asciiTheme="majorEastAsia" w:hAnsiTheme="majorEastAsia" w:eastAsiaTheme="majorEastAsia" w:cstheme="majorEastAsia"/>
          <w:b/>
          <w:bCs/>
          <w:lang w:val="en-US" w:eastAsia="zh-CN"/>
        </w:rPr>
        <w:fldChar w:fldCharType="end"/>
      </w:r>
      <w:bookmarkStart w:id="132" w:name="_Toc4900"/>
      <w:r>
        <w:rPr>
          <w:rFonts w:hint="eastAsia" w:asciiTheme="majorEastAsia" w:hAnsiTheme="majorEastAsia" w:eastAsiaTheme="majorEastAsia" w:cstheme="majorEastAsia"/>
          <w:b/>
          <w:bCs/>
          <w:lang w:val="en-US" w:eastAsia="zh-CN"/>
        </w:rPr>
        <w:t xml:space="preserve"> 主要营业税金及附加情况如下（单位：元）</w:t>
      </w:r>
      <w:bookmarkEnd w:id="132"/>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69"/>
        <w:gridCol w:w="1769"/>
        <w:gridCol w:w="1769"/>
        <w:gridCol w:w="1769"/>
        <w:gridCol w:w="1769"/>
      </w:tblGrid>
      <w:tr w14:paraId="27EA83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191629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6827D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B8DBB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0B7EA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第三季度</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3A86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第四季度</w:t>
            </w:r>
          </w:p>
        </w:tc>
      </w:tr>
      <w:tr w14:paraId="0D2816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AA267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应交增值税</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D22EF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2A126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989</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EF1A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3207</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0DF59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6745</w:t>
            </w:r>
          </w:p>
        </w:tc>
      </w:tr>
      <w:tr w14:paraId="3DA923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90077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应交城建税（7%）</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DC447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221BEC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69.23</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2C80E6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224.49</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4549C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472.15</w:t>
            </w:r>
          </w:p>
        </w:tc>
      </w:tr>
      <w:tr w14:paraId="209142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6EE71C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教育费附加（3%）</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2D49E6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324AA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29.67</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37C8DD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96.21</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16DF71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202.35</w:t>
            </w:r>
          </w:p>
        </w:tc>
      </w:tr>
      <w:tr w14:paraId="55FA02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1769F2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地方教育附加（2%）</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28ECE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766006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19.78</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79CFD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64.14</w:t>
            </w:r>
          </w:p>
        </w:tc>
        <w:tc>
          <w:tcPr>
            <w:tcW w:w="1769" w:type="dxa"/>
            <w:tcBorders>
              <w:top w:val="nil"/>
              <w:left w:val="nil"/>
              <w:bottom w:val="nil"/>
              <w:right w:val="nil"/>
            </w:tcBorders>
            <w:shd w:val="clear" w:color="auto" w:fill="auto"/>
            <w:tcMar>
              <w:top w:w="60" w:type="dxa"/>
              <w:left w:w="120" w:type="dxa"/>
              <w:bottom w:w="30" w:type="dxa"/>
              <w:right w:w="120" w:type="dxa"/>
            </w:tcMar>
            <w:vAlign w:val="center"/>
          </w:tcPr>
          <w:p w14:paraId="50A4C8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134.90</w:t>
            </w:r>
          </w:p>
        </w:tc>
      </w:tr>
      <w:tr w14:paraId="43B70D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32B7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合计</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8C891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47EE0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118.68</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C585A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384.84</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2350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809.40</w:t>
            </w:r>
          </w:p>
        </w:tc>
      </w:tr>
    </w:tbl>
    <w:p w14:paraId="5910986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3B399CD3">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13</w:t>
      </w:r>
      <w:r>
        <w:rPr>
          <w:rFonts w:hint="eastAsia" w:asciiTheme="majorEastAsia" w:hAnsiTheme="majorEastAsia" w:eastAsiaTheme="majorEastAsia" w:cstheme="majorEastAsia"/>
          <w:b/>
          <w:bCs/>
          <w:lang w:val="en-US" w:eastAsia="zh-CN"/>
        </w:rPr>
        <w:fldChar w:fldCharType="end"/>
      </w:r>
      <w:bookmarkStart w:id="133" w:name="_Toc12962"/>
      <w:r>
        <w:rPr>
          <w:rFonts w:hint="eastAsia" w:asciiTheme="majorEastAsia" w:hAnsiTheme="majorEastAsia" w:eastAsiaTheme="majorEastAsia" w:cstheme="majorEastAsia"/>
          <w:b/>
          <w:bCs/>
          <w:lang w:val="en-US" w:eastAsia="zh-CN"/>
        </w:rPr>
        <w:t xml:space="preserve"> 管理费用明细（单位：元）</w:t>
      </w:r>
      <w:bookmarkEnd w:id="133"/>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61FC10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590ABE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5829B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第一季度</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DFD87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第二季度</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21D28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第三季度</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756E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第四季度</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23495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单项总计</w:t>
            </w:r>
          </w:p>
        </w:tc>
      </w:tr>
      <w:tr w14:paraId="02B679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53734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人员薪酬</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98440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EDAA7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8C5E3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FABB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B9512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60000</w:t>
            </w:r>
          </w:p>
        </w:tc>
      </w:tr>
      <w:tr w14:paraId="4F85E0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20E31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办公及场地费用</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967C3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81D35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CAE6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2500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69D5A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2500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E7F88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9000</w:t>
            </w:r>
          </w:p>
        </w:tc>
      </w:tr>
      <w:tr w14:paraId="5CAD5D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85678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专家指导与咨询费</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8D01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3E8C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D1CD8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06FE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400C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7000</w:t>
            </w:r>
          </w:p>
        </w:tc>
      </w:tr>
      <w:tr w14:paraId="02CCFC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7C8EE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其他杂费</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AD4BD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898B4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9D22A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76D5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17CDB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4000</w:t>
            </w:r>
          </w:p>
        </w:tc>
      </w:tr>
      <w:tr w14:paraId="68C427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7F674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合计</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F624F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9FE4A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BDE3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72D64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20000</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D90BD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80000</w:t>
            </w:r>
          </w:p>
        </w:tc>
      </w:tr>
    </w:tbl>
    <w:p w14:paraId="14499C5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p>
    <w:p w14:paraId="4D8910E7">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14</w:t>
      </w:r>
      <w:r>
        <w:rPr>
          <w:rFonts w:hint="eastAsia" w:asciiTheme="majorEastAsia" w:hAnsiTheme="majorEastAsia" w:eastAsiaTheme="majorEastAsia" w:cstheme="majorEastAsia"/>
          <w:b/>
          <w:bCs/>
          <w:lang w:val="en-US" w:eastAsia="zh-CN"/>
        </w:rPr>
        <w:fldChar w:fldCharType="end"/>
      </w:r>
      <w:bookmarkStart w:id="134" w:name="_Toc14025"/>
      <w:r>
        <w:rPr>
          <w:rFonts w:hint="eastAsia" w:asciiTheme="majorEastAsia" w:hAnsiTheme="majorEastAsia" w:eastAsiaTheme="majorEastAsia" w:cstheme="majorEastAsia"/>
          <w:b/>
          <w:bCs/>
          <w:lang w:val="en-US" w:eastAsia="zh-CN"/>
        </w:rPr>
        <w:t xml:space="preserve"> 销售费用明细（单位：元）</w:t>
      </w:r>
      <w:bookmarkEnd w:id="134"/>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4"/>
        <w:gridCol w:w="1264"/>
        <w:gridCol w:w="1264"/>
        <w:gridCol w:w="1264"/>
        <w:gridCol w:w="1264"/>
        <w:gridCol w:w="1264"/>
        <w:gridCol w:w="1264"/>
      </w:tblGrid>
      <w:tr w14:paraId="1D2553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3DF6A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E3B67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D08A7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939B0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75FB5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第四季度</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C7E81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单项总计</w:t>
            </w:r>
          </w:p>
        </w:tc>
        <w:tc>
          <w:tcPr>
            <w:tcW w:w="126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BBCA7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合计</w:t>
            </w:r>
          </w:p>
        </w:tc>
      </w:tr>
      <w:tr w14:paraId="15202C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6D89D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线上内容营销</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5593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D2BF7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D72B8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188CB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11000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348A5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45000</w:t>
            </w:r>
          </w:p>
        </w:tc>
        <w:tc>
          <w:tcPr>
            <w:tcW w:w="126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0EF15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150000</w:t>
            </w:r>
          </w:p>
        </w:tc>
      </w:tr>
      <w:tr w14:paraId="539C79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E8CF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线下活动与宣讲</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011132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DF35A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44EC21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13000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E184A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B134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52000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E33FD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r>
      <w:tr w14:paraId="3B353D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5FF63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渠道合作与推广</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D578F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04A6CA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C4B91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D41C0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4B7C97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0E44B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r>
      <w:tr w14:paraId="760090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375FDA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促销与用户激励</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79F5D7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507CBB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1E8339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6FF383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737246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18000</w:t>
            </w:r>
          </w:p>
        </w:tc>
        <w:tc>
          <w:tcPr>
            <w:tcW w:w="1264" w:type="dxa"/>
            <w:tcBorders>
              <w:top w:val="nil"/>
              <w:left w:val="nil"/>
              <w:bottom w:val="nil"/>
              <w:right w:val="nil"/>
            </w:tcBorders>
            <w:shd w:val="clear" w:color="auto" w:fill="auto"/>
            <w:tcMar>
              <w:top w:w="60" w:type="dxa"/>
              <w:left w:w="120" w:type="dxa"/>
              <w:bottom w:w="30" w:type="dxa"/>
              <w:right w:w="120" w:type="dxa"/>
            </w:tcMar>
            <w:vAlign w:val="center"/>
          </w:tcPr>
          <w:p w14:paraId="28AAF0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r>
      <w:tr w14:paraId="37D689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57290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合计</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EC8DE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40000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47608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35000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83F43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38000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D6B7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37000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9CBFF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150000</w:t>
            </w:r>
          </w:p>
        </w:tc>
        <w:tc>
          <w:tcPr>
            <w:tcW w:w="126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1572F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r>
    </w:tbl>
    <w:p w14:paraId="4C6032D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35" w:name="_Toc28995"/>
      <w:r>
        <w:rPr>
          <w:rFonts w:hint="eastAsia" w:ascii="黑体" w:hAnsi="黑体" w:eastAsia="黑体" w:cs="黑体"/>
          <w:b w:val="0"/>
          <w:bCs w:val="0"/>
          <w:sz w:val="28"/>
          <w:szCs w:val="240"/>
          <w:lang w:val="en-US" w:eastAsia="zh-CN"/>
        </w:rPr>
        <w:t>8.3 财务分析</w:t>
      </w:r>
      <w:bookmarkEnd w:id="135"/>
    </w:p>
    <w:p w14:paraId="2663223C">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36" w:name="_Toc8223"/>
      <w:r>
        <w:rPr>
          <w:rFonts w:hint="eastAsia" w:ascii="黑体" w:hAnsi="黑体" w:eastAsia="黑体" w:cs="黑体"/>
          <w:lang w:val="en-US" w:eastAsia="zh-CN"/>
        </w:rPr>
        <w:t>8.3.1 偿债能力分析</w:t>
      </w:r>
      <w:bookmarkEnd w:id="136"/>
    </w:p>
    <w:p w14:paraId="299DC22E">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15</w:t>
      </w:r>
      <w:r>
        <w:rPr>
          <w:rFonts w:hint="eastAsia" w:asciiTheme="majorEastAsia" w:hAnsiTheme="majorEastAsia" w:eastAsiaTheme="majorEastAsia" w:cstheme="majorEastAsia"/>
          <w:b/>
          <w:bCs/>
          <w:lang w:val="en-US" w:eastAsia="zh-CN"/>
        </w:rPr>
        <w:fldChar w:fldCharType="end"/>
      </w:r>
      <w:bookmarkStart w:id="137" w:name="_Toc1237"/>
      <w:r>
        <w:rPr>
          <w:rFonts w:hint="eastAsia" w:asciiTheme="majorEastAsia" w:hAnsiTheme="majorEastAsia" w:eastAsiaTheme="majorEastAsia" w:cstheme="majorEastAsia"/>
          <w:b/>
          <w:bCs/>
          <w:lang w:val="en-US" w:eastAsia="zh-CN"/>
        </w:rPr>
        <w:t xml:space="preserve"> 短期偿债能力分析</w:t>
      </w:r>
      <w:bookmarkEnd w:id="137"/>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0BF4B0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667986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CDA9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03BAA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05BE7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AED01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1E08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第五年</w:t>
            </w:r>
          </w:p>
        </w:tc>
      </w:tr>
      <w:tr w14:paraId="189C2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F66BF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流动比率</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FEC37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1.65</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C771E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1.78</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4AB8C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1.85</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FA6F9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1.92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D0CFD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1.96</w:t>
            </w:r>
          </w:p>
        </w:tc>
      </w:tr>
      <w:tr w14:paraId="2BA1F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7EE66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速动比率</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EBBA7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1.52</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7DC1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1.69</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D0BB7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1.76</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26B9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1.84</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D9C18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1.89</w:t>
            </w:r>
          </w:p>
        </w:tc>
      </w:tr>
    </w:tbl>
    <w:p w14:paraId="48945CC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流动比率、速动比率均维持在1.5以上，高于行业安全临界值1.0，表明项目短期流动资产对流动负债的保障程度高，资产变现能力强，无短期偿债风险。项目运营前期以轻资产投入为主，无大额存货积压，速动比率与流动比率差值较小，短期偿债能力持续优化。</w:t>
      </w:r>
    </w:p>
    <w:p w14:paraId="775CA8AB">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16</w:t>
      </w:r>
      <w:r>
        <w:rPr>
          <w:rFonts w:hint="eastAsia" w:asciiTheme="majorEastAsia" w:hAnsiTheme="majorEastAsia" w:eastAsiaTheme="majorEastAsia" w:cstheme="majorEastAsia"/>
          <w:b/>
          <w:bCs/>
          <w:lang w:val="en-US" w:eastAsia="zh-CN"/>
        </w:rPr>
        <w:fldChar w:fldCharType="end"/>
      </w:r>
      <w:bookmarkStart w:id="138" w:name="_Toc38"/>
      <w:r>
        <w:rPr>
          <w:rFonts w:hint="eastAsia" w:asciiTheme="majorEastAsia" w:hAnsiTheme="majorEastAsia" w:eastAsiaTheme="majorEastAsia" w:cstheme="majorEastAsia"/>
          <w:b/>
          <w:bCs/>
          <w:lang w:val="en-US" w:eastAsia="zh-CN"/>
        </w:rPr>
        <w:t xml:space="preserve"> 长期偿债能力分析</w:t>
      </w:r>
      <w:bookmarkEnd w:id="138"/>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7"/>
        <w:gridCol w:w="1417"/>
        <w:gridCol w:w="1417"/>
        <w:gridCol w:w="1417"/>
        <w:gridCol w:w="1417"/>
        <w:gridCol w:w="1417"/>
      </w:tblGrid>
      <w:tr w14:paraId="2A701E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57"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77953E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1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B4B9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第一年</w:t>
            </w:r>
          </w:p>
        </w:tc>
        <w:tc>
          <w:tcPr>
            <w:tcW w:w="141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0B30F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第二年</w:t>
            </w:r>
          </w:p>
        </w:tc>
        <w:tc>
          <w:tcPr>
            <w:tcW w:w="141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200BF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第三年</w:t>
            </w:r>
          </w:p>
        </w:tc>
        <w:tc>
          <w:tcPr>
            <w:tcW w:w="141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028DF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第四年</w:t>
            </w:r>
          </w:p>
        </w:tc>
        <w:tc>
          <w:tcPr>
            <w:tcW w:w="1417"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E3911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第五年</w:t>
            </w:r>
          </w:p>
        </w:tc>
      </w:tr>
      <w:tr w14:paraId="40D63F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5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C7BF1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资产负债率</w:t>
            </w:r>
          </w:p>
        </w:tc>
        <w:tc>
          <w:tcPr>
            <w:tcW w:w="141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D14C9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0.18</w:t>
            </w:r>
          </w:p>
        </w:tc>
        <w:tc>
          <w:tcPr>
            <w:tcW w:w="141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03EB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0.22</w:t>
            </w:r>
          </w:p>
        </w:tc>
        <w:tc>
          <w:tcPr>
            <w:tcW w:w="141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46CD9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0.25</w:t>
            </w:r>
          </w:p>
        </w:tc>
        <w:tc>
          <w:tcPr>
            <w:tcW w:w="141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C145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0.28</w:t>
            </w:r>
          </w:p>
        </w:tc>
        <w:tc>
          <w:tcPr>
            <w:tcW w:w="1417"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89C9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0.30</w:t>
            </w:r>
          </w:p>
        </w:tc>
      </w:tr>
      <w:tr w14:paraId="333950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57" w:type="dxa"/>
            <w:tcBorders>
              <w:top w:val="nil"/>
              <w:left w:val="nil"/>
              <w:bottom w:val="nil"/>
              <w:right w:val="nil"/>
            </w:tcBorders>
            <w:shd w:val="clear" w:color="auto" w:fill="auto"/>
            <w:tcMar>
              <w:top w:w="60" w:type="dxa"/>
              <w:left w:w="120" w:type="dxa"/>
              <w:bottom w:w="30" w:type="dxa"/>
              <w:right w:w="120" w:type="dxa"/>
            </w:tcMar>
            <w:vAlign w:val="center"/>
          </w:tcPr>
          <w:p w14:paraId="137DCF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股东权益比率</w:t>
            </w:r>
          </w:p>
        </w:tc>
        <w:tc>
          <w:tcPr>
            <w:tcW w:w="1417" w:type="dxa"/>
            <w:tcBorders>
              <w:top w:val="nil"/>
              <w:left w:val="nil"/>
              <w:bottom w:val="nil"/>
              <w:right w:val="nil"/>
            </w:tcBorders>
            <w:shd w:val="clear" w:color="auto" w:fill="auto"/>
            <w:tcMar>
              <w:top w:w="60" w:type="dxa"/>
              <w:left w:w="120" w:type="dxa"/>
              <w:bottom w:w="30" w:type="dxa"/>
              <w:right w:w="120" w:type="dxa"/>
            </w:tcMar>
            <w:vAlign w:val="center"/>
          </w:tcPr>
          <w:p w14:paraId="4DAD58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0.82</w:t>
            </w:r>
          </w:p>
        </w:tc>
        <w:tc>
          <w:tcPr>
            <w:tcW w:w="1417" w:type="dxa"/>
            <w:tcBorders>
              <w:top w:val="nil"/>
              <w:left w:val="nil"/>
              <w:bottom w:val="nil"/>
              <w:right w:val="nil"/>
            </w:tcBorders>
            <w:shd w:val="clear" w:color="auto" w:fill="auto"/>
            <w:tcMar>
              <w:top w:w="60" w:type="dxa"/>
              <w:left w:w="120" w:type="dxa"/>
              <w:bottom w:w="30" w:type="dxa"/>
              <w:right w:w="120" w:type="dxa"/>
            </w:tcMar>
            <w:vAlign w:val="center"/>
          </w:tcPr>
          <w:p w14:paraId="2DC17B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0.78</w:t>
            </w:r>
          </w:p>
        </w:tc>
        <w:tc>
          <w:tcPr>
            <w:tcW w:w="1417" w:type="dxa"/>
            <w:tcBorders>
              <w:top w:val="nil"/>
              <w:left w:val="nil"/>
              <w:bottom w:val="nil"/>
              <w:right w:val="nil"/>
            </w:tcBorders>
            <w:shd w:val="clear" w:color="auto" w:fill="auto"/>
            <w:tcMar>
              <w:top w:w="60" w:type="dxa"/>
              <w:left w:w="120" w:type="dxa"/>
              <w:bottom w:w="30" w:type="dxa"/>
              <w:right w:w="120" w:type="dxa"/>
            </w:tcMar>
            <w:vAlign w:val="center"/>
          </w:tcPr>
          <w:p w14:paraId="18E0BA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0.75</w:t>
            </w:r>
          </w:p>
        </w:tc>
        <w:tc>
          <w:tcPr>
            <w:tcW w:w="1417" w:type="dxa"/>
            <w:tcBorders>
              <w:top w:val="nil"/>
              <w:left w:val="nil"/>
              <w:bottom w:val="nil"/>
              <w:right w:val="nil"/>
            </w:tcBorders>
            <w:shd w:val="clear" w:color="auto" w:fill="auto"/>
            <w:tcMar>
              <w:top w:w="60" w:type="dxa"/>
              <w:left w:w="120" w:type="dxa"/>
              <w:bottom w:w="30" w:type="dxa"/>
              <w:right w:w="120" w:type="dxa"/>
            </w:tcMar>
            <w:vAlign w:val="center"/>
          </w:tcPr>
          <w:p w14:paraId="0B3597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0.72</w:t>
            </w:r>
          </w:p>
        </w:tc>
        <w:tc>
          <w:tcPr>
            <w:tcW w:w="1417" w:type="dxa"/>
            <w:tcBorders>
              <w:top w:val="nil"/>
              <w:left w:val="nil"/>
              <w:bottom w:val="nil"/>
              <w:right w:val="nil"/>
            </w:tcBorders>
            <w:shd w:val="clear" w:color="auto" w:fill="auto"/>
            <w:tcMar>
              <w:top w:w="60" w:type="dxa"/>
              <w:left w:w="120" w:type="dxa"/>
              <w:bottom w:w="30" w:type="dxa"/>
              <w:right w:w="120" w:type="dxa"/>
            </w:tcMar>
            <w:vAlign w:val="center"/>
          </w:tcPr>
          <w:p w14:paraId="3AE2FA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0.70</w:t>
            </w:r>
          </w:p>
        </w:tc>
      </w:tr>
      <w:tr w14:paraId="6A983C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5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099A9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利息保障倍数</w:t>
            </w:r>
          </w:p>
        </w:tc>
        <w:tc>
          <w:tcPr>
            <w:tcW w:w="141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9F8B1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-65.47</w:t>
            </w:r>
          </w:p>
        </w:tc>
        <w:tc>
          <w:tcPr>
            <w:tcW w:w="141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6DB5C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12.34</w:t>
            </w:r>
          </w:p>
        </w:tc>
        <w:tc>
          <w:tcPr>
            <w:tcW w:w="141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A0E93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21.68</w:t>
            </w:r>
          </w:p>
        </w:tc>
        <w:tc>
          <w:tcPr>
            <w:tcW w:w="141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4BB37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30.25</w:t>
            </w:r>
          </w:p>
        </w:tc>
        <w:tc>
          <w:tcPr>
            <w:tcW w:w="1417"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109D5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38.72</w:t>
            </w:r>
          </w:p>
        </w:tc>
      </w:tr>
    </w:tbl>
    <w:p w14:paraId="521B6DC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项目资产负债率始终控制在30%以内，远低于行业60%的风险警戒线，长期债务结构健康，无大额刚性负债压力；利息保障倍数从第二年起持续高于10，表明项目息税前利润可足额覆盖利息支出，长期偿债能力充足，财务风险处于极低水平。</w:t>
      </w:r>
    </w:p>
    <w:p w14:paraId="0AAE2FBC">
      <w:pPr>
        <w:rPr>
          <w:rFonts w:hint="eastAsia"/>
          <w:b/>
          <w:bCs/>
          <w:lang w:val="en-US" w:eastAsia="zh-CN"/>
        </w:rPr>
      </w:pPr>
      <w:r>
        <w:rPr>
          <w:rFonts w:hint="eastAsia"/>
          <w:b/>
          <w:bCs/>
          <w:lang w:val="en-US" w:eastAsia="zh-CN"/>
        </w:rPr>
        <w:t>营运能力分析</w:t>
      </w:r>
    </w:p>
    <w:p w14:paraId="1C5C9E98">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17</w:t>
      </w:r>
      <w:r>
        <w:rPr>
          <w:rFonts w:hint="eastAsia" w:asciiTheme="majorEastAsia" w:hAnsiTheme="majorEastAsia" w:eastAsiaTheme="majorEastAsia" w:cstheme="majorEastAsia"/>
          <w:b/>
          <w:bCs/>
          <w:lang w:val="en-US" w:eastAsia="zh-CN"/>
        </w:rPr>
        <w:fldChar w:fldCharType="end"/>
      </w:r>
      <w:bookmarkStart w:id="139" w:name="_Toc15425"/>
      <w:r>
        <w:rPr>
          <w:rFonts w:hint="eastAsia" w:asciiTheme="majorEastAsia" w:hAnsiTheme="majorEastAsia" w:eastAsiaTheme="majorEastAsia" w:cstheme="majorEastAsia"/>
          <w:b/>
          <w:bCs/>
          <w:lang w:val="en-US" w:eastAsia="zh-CN"/>
        </w:rPr>
        <w:t xml:space="preserve"> 流动资产周转情况</w:t>
      </w:r>
      <w:bookmarkEnd w:id="13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4F8B97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2ED7E4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E96E8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3F6DD2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6C015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B3273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165E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第五年</w:t>
            </w:r>
          </w:p>
        </w:tc>
      </w:tr>
      <w:tr w14:paraId="226466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C9704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应收账款周转率</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FD7CD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14.25</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BD4AB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14.86</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48F338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15.32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E7CDC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15.78</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1CC0F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16.12</w:t>
            </w:r>
          </w:p>
        </w:tc>
      </w:tr>
      <w:tr w14:paraId="11B3A5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427E9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流动资产周转率</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8DA2E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1.24</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2557C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1.89</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A5982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2.35</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09BB3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2.76</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8DC68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3.02</w:t>
            </w:r>
          </w:p>
        </w:tc>
      </w:tr>
    </w:tbl>
    <w:p w14:paraId="5777E75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应收账款周转率稳定在14次/年以上，回款周期短，资金回笼效率高，坏账风险低；流动资产周转率逐年提升，表明项目流动资产利用效率持续优化，运营能力不断增强，为业务拓展与资金增值奠定了坚实基础。</w:t>
      </w:r>
    </w:p>
    <w:p w14:paraId="12075130">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18</w:t>
      </w:r>
      <w:r>
        <w:rPr>
          <w:rFonts w:hint="eastAsia" w:asciiTheme="majorEastAsia" w:hAnsiTheme="majorEastAsia" w:eastAsiaTheme="majorEastAsia" w:cstheme="majorEastAsia"/>
          <w:b/>
          <w:bCs/>
          <w:lang w:val="en-US" w:eastAsia="zh-CN"/>
        </w:rPr>
        <w:fldChar w:fldCharType="end"/>
      </w:r>
      <w:bookmarkStart w:id="140" w:name="_Toc18519"/>
      <w:r>
        <w:rPr>
          <w:rFonts w:hint="eastAsia" w:asciiTheme="majorEastAsia" w:hAnsiTheme="majorEastAsia" w:eastAsiaTheme="majorEastAsia" w:cstheme="majorEastAsia"/>
          <w:b/>
          <w:bCs/>
          <w:lang w:val="en-US" w:eastAsia="zh-CN"/>
        </w:rPr>
        <w:t xml:space="preserve"> 总资产周转情况</w:t>
      </w:r>
      <w:bookmarkEnd w:id="14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474"/>
        <w:gridCol w:w="1474"/>
        <w:gridCol w:w="1474"/>
        <w:gridCol w:w="1474"/>
        <w:gridCol w:w="1474"/>
        <w:gridCol w:w="1474"/>
      </w:tblGrid>
      <w:tr w14:paraId="54C6A9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719AB9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84689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60B77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7F492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2B32A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86AA1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第五年</w:t>
            </w:r>
          </w:p>
        </w:tc>
      </w:tr>
      <w:tr w14:paraId="34CFB2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06416D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总资产周转率</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306759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0.92</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30A5C4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1.26</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48F306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1.54</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4A7D5D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1.68</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34C591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1.75</w:t>
            </w:r>
          </w:p>
        </w:tc>
      </w:tr>
    </w:tbl>
    <w:p w14:paraId="5FB0116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注：总资产周转率逐年稳步上升，项目整体资产运营效率持续提升，轻资产运营模式下，资产投入与营收产出匹配度高，无闲置资产与无效投入，整体营运能力处于行业优秀水平。</w:t>
      </w:r>
    </w:p>
    <w:p w14:paraId="7455E60E">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41" w:name="_Toc18076"/>
      <w:r>
        <w:rPr>
          <w:rFonts w:hint="eastAsia" w:ascii="黑体" w:hAnsi="黑体" w:eastAsia="黑体" w:cs="黑体"/>
          <w:lang w:val="en-US" w:eastAsia="zh-CN"/>
        </w:rPr>
        <w:t>8.3.2 盈利能力分析</w:t>
      </w:r>
      <w:bookmarkEnd w:id="141"/>
    </w:p>
    <w:p w14:paraId="15D88034">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19</w:t>
      </w:r>
      <w:r>
        <w:rPr>
          <w:rFonts w:hint="eastAsia" w:asciiTheme="majorEastAsia" w:hAnsiTheme="majorEastAsia" w:eastAsiaTheme="majorEastAsia" w:cstheme="majorEastAsia"/>
          <w:b/>
          <w:bCs/>
          <w:lang w:val="en-US" w:eastAsia="zh-CN"/>
        </w:rPr>
        <w:fldChar w:fldCharType="end"/>
      </w:r>
      <w:bookmarkStart w:id="142" w:name="_Toc10123"/>
      <w:r>
        <w:rPr>
          <w:rFonts w:hint="eastAsia" w:asciiTheme="majorEastAsia" w:hAnsiTheme="majorEastAsia" w:eastAsiaTheme="majorEastAsia" w:cstheme="majorEastAsia"/>
          <w:b/>
          <w:bCs/>
          <w:lang w:val="en-US" w:eastAsia="zh-CN"/>
        </w:rPr>
        <w:t xml:space="preserve"> 碳融智核项目五年盈利能力核心指标分析表</w:t>
      </w:r>
      <w:bookmarkEnd w:id="142"/>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482F66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4CD5C9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33EBC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EB4CE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A62AC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46BC5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3B544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第五年</w:t>
            </w:r>
          </w:p>
        </w:tc>
      </w:tr>
      <w:tr w14:paraId="627109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0C94A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成本费用利润率</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524B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4B96E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0.58</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3094E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1.24</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20FB5A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1.67</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F9D5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1.98</w:t>
            </w:r>
          </w:p>
        </w:tc>
      </w:tr>
      <w:tr w14:paraId="4BD5FC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EDBEC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总资产报酬率</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7DA1D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-0.54</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D3B6F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0.42</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7E5AB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0.78</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D36D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1.05</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E5660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1.26</w:t>
            </w:r>
          </w:p>
        </w:tc>
      </w:tr>
      <w:tr w14:paraId="762C2D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53AEC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净资产收益率</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E5ECF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-0.48</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11D52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0.36</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0A4CF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0.92</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52591F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1.34</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CDCAA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1.58</w:t>
            </w:r>
          </w:p>
        </w:tc>
      </w:tr>
      <w:tr w14:paraId="238129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1CB0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销售毛利率</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6882E9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45.16%</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0C495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82.49%</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167DB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88.96%</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3D7D8D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90.00%</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E302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90.10%</w:t>
            </w:r>
          </w:p>
        </w:tc>
      </w:tr>
      <w:tr w14:paraId="16CEB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3232F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销售净利率</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8D211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-18.01%</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75EAB7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26.35%</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60D3E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42.68%</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26AE77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51.24%</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18FD0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56.72%</w:t>
            </w:r>
          </w:p>
        </w:tc>
      </w:tr>
    </w:tbl>
    <w:p w14:paraId="0CE94BB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项目第一年处于启动期，因前期平台开发与市场推广投入较大，净利润为负，符合SaaS创业项目成长规律；第二年实现盈亏平衡并盈利，销售毛利率稳定在80%以上，远超行业平均水平，核心业务盈利空间充足；销售净利率、净资产收益率等核心盈利指标逐年大幅提升，表明项目盈利能力持续增强，盈利质量高，具备极强的盈利成长性与可持续性。</w:t>
      </w:r>
    </w:p>
    <w:p w14:paraId="09940D4D">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43" w:name="_Toc21862"/>
      <w:r>
        <w:rPr>
          <w:rFonts w:hint="eastAsia" w:ascii="黑体" w:hAnsi="黑体" w:eastAsia="黑体" w:cs="黑体"/>
          <w:lang w:val="en-US" w:eastAsia="zh-CN"/>
        </w:rPr>
        <w:t>8.3.3 发展能力分析</w:t>
      </w:r>
      <w:bookmarkEnd w:id="143"/>
    </w:p>
    <w:p w14:paraId="3A606699">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20</w:t>
      </w:r>
      <w:r>
        <w:rPr>
          <w:rFonts w:hint="eastAsia" w:asciiTheme="majorEastAsia" w:hAnsiTheme="majorEastAsia" w:eastAsiaTheme="majorEastAsia" w:cstheme="majorEastAsia"/>
          <w:b/>
          <w:bCs/>
          <w:lang w:val="en-US" w:eastAsia="zh-CN"/>
        </w:rPr>
        <w:fldChar w:fldCharType="end"/>
      </w:r>
      <w:bookmarkStart w:id="144" w:name="_Toc25794"/>
      <w:r>
        <w:rPr>
          <w:rFonts w:hint="eastAsia" w:asciiTheme="majorEastAsia" w:hAnsiTheme="majorEastAsia" w:eastAsiaTheme="majorEastAsia" w:cstheme="majorEastAsia"/>
          <w:b/>
          <w:bCs/>
          <w:lang w:val="en-US" w:eastAsia="zh-CN"/>
        </w:rPr>
        <w:t xml:space="preserve"> 碳融智核项目五年发展能力核心指标分析表</w:t>
      </w:r>
      <w:bookmarkEnd w:id="144"/>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74"/>
        <w:gridCol w:w="1474"/>
        <w:gridCol w:w="1474"/>
        <w:gridCol w:w="1474"/>
        <w:gridCol w:w="1474"/>
        <w:gridCol w:w="1474"/>
      </w:tblGrid>
      <w:tr w14:paraId="0685FC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05D4E7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8D02C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第一年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F8487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第二年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CAA40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第三年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96BD1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第四年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2187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第五年</w:t>
            </w:r>
          </w:p>
        </w:tc>
      </w:tr>
      <w:tr w14:paraId="347336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01A09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营业增长率</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570A88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B72DC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5.73</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102F3F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2.13</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A9A7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0.82</w:t>
            </w:r>
          </w:p>
        </w:tc>
        <w:tc>
          <w:tcPr>
            <w:tcW w:w="1474"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6C18A4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0.50</w:t>
            </w:r>
          </w:p>
        </w:tc>
      </w:tr>
      <w:tr w14:paraId="14EA94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7B5A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资本保值增值率</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C2E2D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0.58</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63FE2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1.32</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6CCB8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2.05</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1DAE6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2.24</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1664C7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2.18</w:t>
            </w:r>
          </w:p>
        </w:tc>
      </w:tr>
      <w:tr w14:paraId="269774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788ABB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总资产增长率</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EAA54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-0.18</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BE97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2.06</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2762AB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3.12</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0CB8E3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2.45</w:t>
            </w:r>
          </w:p>
        </w:tc>
        <w:tc>
          <w:tcPr>
            <w:tcW w:w="1474" w:type="dxa"/>
            <w:tcBorders>
              <w:top w:val="nil"/>
              <w:left w:val="nil"/>
              <w:bottom w:val="nil"/>
              <w:right w:val="nil"/>
            </w:tcBorders>
            <w:shd w:val="clear" w:color="auto" w:fill="auto"/>
            <w:tcMar>
              <w:top w:w="60" w:type="dxa"/>
              <w:left w:w="120" w:type="dxa"/>
              <w:bottom w:w="30" w:type="dxa"/>
              <w:right w:w="120" w:type="dxa"/>
            </w:tcMar>
            <w:vAlign w:val="center"/>
          </w:tcPr>
          <w:p w14:paraId="407FB7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1.86</w:t>
            </w:r>
          </w:p>
        </w:tc>
      </w:tr>
      <w:tr w14:paraId="65EC95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5C890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净利润增长率</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99A83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CC9B0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4.86</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3D1A7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3.15</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E2723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1.78</w:t>
            </w:r>
          </w:p>
        </w:tc>
        <w:tc>
          <w:tcPr>
            <w:tcW w:w="1474"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581433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sz w:val="24"/>
                <w:szCs w:val="24"/>
              </w:rPr>
            </w:pPr>
            <w:r>
              <w:rPr>
                <w:rFonts w:hint="eastAsia" w:asciiTheme="minorEastAsia" w:hAnsiTheme="minorEastAsia" w:eastAsiaTheme="minorEastAsia" w:cstheme="minorEastAsia"/>
                <w:b w:val="0"/>
                <w:color w:val="000000"/>
                <w:sz w:val="24"/>
                <w:szCs w:val="24"/>
              </w:rPr>
              <w:t>1.32</w:t>
            </w:r>
          </w:p>
        </w:tc>
      </w:tr>
    </w:tbl>
    <w:p w14:paraId="1EA9F12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注：项目营业增长率、总资产增长率、净利润增长率均保持高位增长，第二年营业收入同比增长573%，第三年同比增长213%，展现出极强的市场扩张能力与发展潜力；资本保值增值率持续大于1，股东权益持续增长，项目具备持续的自我造血能力与长期发展能力，成长空间广阔。</w:t>
      </w:r>
    </w:p>
    <w:p w14:paraId="23F7C82C">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45" w:name="_Toc4087"/>
      <w:r>
        <w:rPr>
          <w:rFonts w:hint="eastAsia" w:ascii="黑体" w:hAnsi="黑体" w:eastAsia="黑体" w:cs="黑体"/>
          <w:lang w:val="en-US" w:eastAsia="zh-CN"/>
        </w:rPr>
        <w:t>8.3.4 财务分析总结</w:t>
      </w:r>
      <w:bookmarkEnd w:id="145"/>
    </w:p>
    <w:p w14:paraId="3198AD3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综合以上财务指标分析，本项目在财务层面具备显著的可行性与成长性：</w:t>
      </w:r>
    </w:p>
    <w:p w14:paraId="121FD62F">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偿债能力方面，项目短期与长期偿债能力均处于安全区间，资产结构健康，无重大债务风险与财务危机，财务稳定性强；</w:t>
      </w:r>
    </w:p>
    <w:p w14:paraId="340B3FFF">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营运能力方面，轻资产运营模式下，资产利用效率、资金回笼效率持续优化，项目整体运营管理能力不断提升，为业务规模化扩张提供了充足保障；</w:t>
      </w:r>
    </w:p>
    <w:p w14:paraId="6A265953">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盈利能力方面，项目核心业务毛利率处于行业高位，第二年即可实现盈利，后续盈利指标持续大幅攀升，盈利模式成熟且可持续，具备极强的利润创造能力；</w:t>
      </w:r>
    </w:p>
    <w:p w14:paraId="419B5616">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发展能力方面，项目营收、净利润、资产规模均保持高速增长，成长曲线符合SaaS行业优质项目特征，具备长期发展潜力与规模化复制能力。</w:t>
      </w:r>
    </w:p>
    <w:p w14:paraId="774A706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整体而言，本项目财务状况健康，盈利预期明确，抗风险能力强，各项财务指标均处于合理区间，具备良好的投资价值与财务可行性。</w:t>
      </w:r>
    </w:p>
    <w:p w14:paraId="17F7898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46" w:name="_Toc8802"/>
      <w:r>
        <w:rPr>
          <w:rFonts w:hint="eastAsia" w:ascii="黑体" w:hAnsi="黑体" w:eastAsia="黑体" w:cs="黑体"/>
          <w:b w:val="0"/>
          <w:bCs w:val="0"/>
          <w:sz w:val="28"/>
          <w:szCs w:val="240"/>
          <w:lang w:val="en-US" w:eastAsia="zh-CN"/>
        </w:rPr>
        <w:t>8.4 项目可行性分析</w:t>
      </w:r>
      <w:bookmarkEnd w:id="146"/>
    </w:p>
    <w:p w14:paraId="065FBE90">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47" w:name="_Toc32764"/>
      <w:r>
        <w:rPr>
          <w:rFonts w:hint="eastAsia" w:ascii="黑体" w:hAnsi="黑体" w:eastAsia="黑体" w:cs="黑体"/>
          <w:lang w:val="en-US" w:eastAsia="zh-CN"/>
        </w:rPr>
        <w:t>8.4.1 平台的开发</w:t>
      </w:r>
      <w:bookmarkEnd w:id="147"/>
    </w:p>
    <w:p w14:paraId="00092CB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本项目平台采用B/S架构，以SaaS云端部署为核心形态，分为前端交互层、后端业务层、数据存储层、AI能力层四大模块，功能实现方式及开发可行性对比如下：</w:t>
      </w:r>
    </w:p>
    <w:p w14:paraId="1D012448">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 xml:space="preserve">表 </w:t>
      </w:r>
      <w:r>
        <w:rPr>
          <w:rFonts w:hint="eastAsia" w:asciiTheme="majorEastAsia" w:hAnsiTheme="majorEastAsia" w:eastAsiaTheme="majorEastAsia" w:cstheme="majorEastAsia"/>
          <w:b/>
          <w:bCs/>
          <w:lang w:val="en-US" w:eastAsia="zh-CN"/>
        </w:rPr>
        <w:fldChar w:fldCharType="begin"/>
      </w:r>
      <w:r>
        <w:rPr>
          <w:rFonts w:hint="eastAsia" w:asciiTheme="majorEastAsia" w:hAnsiTheme="majorEastAsia" w:eastAsiaTheme="majorEastAsia" w:cstheme="majorEastAsia"/>
          <w:b/>
          <w:bCs/>
          <w:lang w:val="en-US" w:eastAsia="zh-CN"/>
        </w:rPr>
        <w:instrText xml:space="preserve"> SEQ 表 \* ARABIC </w:instrText>
      </w:r>
      <w:r>
        <w:rPr>
          <w:rFonts w:hint="eastAsia" w:asciiTheme="majorEastAsia" w:hAnsiTheme="majorEastAsia" w:eastAsiaTheme="majorEastAsia" w:cstheme="majorEastAsia"/>
          <w:b/>
          <w:bCs/>
          <w:lang w:val="en-US" w:eastAsia="zh-CN"/>
        </w:rPr>
        <w:fldChar w:fldCharType="separate"/>
      </w:r>
      <w:r>
        <w:rPr>
          <w:rFonts w:hint="eastAsia" w:asciiTheme="majorEastAsia" w:hAnsiTheme="majorEastAsia" w:eastAsiaTheme="majorEastAsia" w:cstheme="majorEastAsia"/>
          <w:b/>
          <w:bCs/>
          <w:lang w:val="en-US" w:eastAsia="zh-CN"/>
        </w:rPr>
        <w:t>21</w:t>
      </w:r>
      <w:r>
        <w:rPr>
          <w:rFonts w:hint="eastAsia" w:asciiTheme="majorEastAsia" w:hAnsiTheme="majorEastAsia" w:eastAsiaTheme="majorEastAsia" w:cstheme="majorEastAsia"/>
          <w:b/>
          <w:bCs/>
          <w:lang w:val="en-US" w:eastAsia="zh-CN"/>
        </w:rPr>
        <w:fldChar w:fldCharType="end"/>
      </w:r>
      <w:bookmarkStart w:id="148" w:name="_Toc26071"/>
      <w:r>
        <w:rPr>
          <w:rFonts w:hint="eastAsia" w:asciiTheme="majorEastAsia" w:hAnsiTheme="majorEastAsia" w:eastAsiaTheme="majorEastAsia" w:cstheme="majorEastAsia"/>
          <w:b/>
          <w:bCs/>
          <w:lang w:val="en-US" w:eastAsia="zh-CN"/>
        </w:rPr>
        <w:t xml:space="preserve"> 碳融智核平台开发模式对比与可行性分析表</w:t>
      </w:r>
      <w:bookmarkEnd w:id="148"/>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69"/>
        <w:gridCol w:w="1769"/>
        <w:gridCol w:w="1769"/>
        <w:gridCol w:w="1769"/>
        <w:gridCol w:w="1769"/>
      </w:tblGrid>
      <w:tr w14:paraId="320459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76C1AC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技术实现方式</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2E1D5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核心优势</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DC9A8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适配性分析</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242BF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开发难点</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EADD5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解决方案</w:t>
            </w:r>
          </w:p>
        </w:tc>
      </w:tr>
      <w:tr w14:paraId="29D9B9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551" w:hRule="atLeast"/>
          <w:jc w:val="center"/>
        </w:trPr>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02F75E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原生开发（Native）</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36FD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性能高、可调用系统全功能、支持离线使用</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20017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适配性低，开发成本高、周期长，跨平台适配难度大，不符合项目轻量化需求</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6AFE0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多端适配成本高、开发周期长、迭代效率低</w:t>
            </w:r>
          </w:p>
        </w:tc>
        <w:tc>
          <w:tcPr>
            <w:tcW w:w="1769" w:type="dxa"/>
            <w:tcBorders>
              <w:top w:val="single" w:color="000000" w:sz="4" w:space="0"/>
              <w:left w:val="nil"/>
              <w:bottom w:val="nil"/>
              <w:right w:val="nil"/>
            </w:tcBorders>
            <w:shd w:val="clear" w:color="auto" w:fill="auto"/>
            <w:tcMar>
              <w:top w:w="60" w:type="dxa"/>
              <w:left w:w="120" w:type="dxa"/>
              <w:bottom w:w="30" w:type="dxa"/>
              <w:right w:w="120" w:type="dxa"/>
            </w:tcMar>
            <w:vAlign w:val="center"/>
          </w:tcPr>
          <w:p w14:paraId="718126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不采用该模式，仅针对核心功能做原生适配优化</w:t>
            </w:r>
          </w:p>
        </w:tc>
      </w:tr>
      <w:tr w14:paraId="2F3C43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551" w:hRule="atLeast"/>
          <w:jc w:val="center"/>
        </w:trPr>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38B10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纯网页开发（WebView）</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65B570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开发成本低、跨平台适配性强、更新无需用户手动操作</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90F22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适配性中等，性能表现一般，对硬件功能调用受限，用户体验弱于原生模式</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1B45DF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离线使用能力弱、硬件功能调用受限、动画与可视化效果支持不足</w:t>
            </w:r>
          </w:p>
        </w:tc>
        <w:tc>
          <w:tcPr>
            <w:tcW w:w="1769" w:type="dxa"/>
            <w:tcBorders>
              <w:top w:val="nil"/>
              <w:left w:val="nil"/>
              <w:bottom w:val="single" w:color="000000" w:sz="12" w:space="0"/>
              <w:right w:val="nil"/>
            </w:tcBorders>
            <w:shd w:val="clear" w:color="auto" w:fill="auto"/>
            <w:tcMar>
              <w:top w:w="60" w:type="dxa"/>
              <w:left w:w="120" w:type="dxa"/>
              <w:bottom w:w="30" w:type="dxa"/>
              <w:right w:w="120" w:type="dxa"/>
            </w:tcMar>
            <w:vAlign w:val="center"/>
          </w:tcPr>
          <w:p w14:paraId="039AC1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辅助使用，用于政策资讯、帮助文档等静态页面开发</w:t>
            </w:r>
          </w:p>
        </w:tc>
      </w:tr>
    </w:tbl>
    <w:p w14:paraId="3AF7ECAA">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续表 21 碳融智核平台开发模式对比与可行性分析表</w:t>
      </w:r>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69"/>
        <w:gridCol w:w="1769"/>
        <w:gridCol w:w="1769"/>
        <w:gridCol w:w="1769"/>
        <w:gridCol w:w="1769"/>
      </w:tblGrid>
      <w:tr w14:paraId="1FBBE0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78E5D6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技术实现方式</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8FAB7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核心优势</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2DA85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适配性分析</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67C56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开发难点</w:t>
            </w:r>
          </w:p>
        </w:tc>
        <w:tc>
          <w:tcPr>
            <w:tcW w:w="1769"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006C2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解决方案</w:t>
            </w:r>
          </w:p>
        </w:tc>
      </w:tr>
      <w:tr w14:paraId="499F9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769"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tcPr>
          <w:p w14:paraId="4BB84BAD">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混合开发（Hybrid）</w:t>
            </w:r>
          </w:p>
        </w:tc>
        <w:tc>
          <w:tcPr>
            <w:tcW w:w="1769"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tcPr>
          <w:p w14:paraId="6A2C249D">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兼容多平台、可灵活调用设备硬件功能、支持离线使用、开发成本可控、迭代效率高</w:t>
            </w:r>
          </w:p>
        </w:tc>
        <w:tc>
          <w:tcPr>
            <w:tcW w:w="1769"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tcPr>
          <w:p w14:paraId="3E41DF30">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适配性极高，完美匹配项目轻量化SaaS工具定位，兼顾开发效率、用户体验与成本控制，符合大学生创业项目预算与周期要求</w:t>
            </w:r>
          </w:p>
        </w:tc>
        <w:tc>
          <w:tcPr>
            <w:tcW w:w="1769"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tcPr>
          <w:p w14:paraId="461C32C1">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技术成熟度待验证、多端兼容性调试难度大</w:t>
            </w:r>
          </w:p>
        </w:tc>
        <w:tc>
          <w:tcPr>
            <w:tcW w:w="1769"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tcPr>
          <w:p w14:paraId="527114F8">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采用主流Vue.js+Django前后端分离框架，基于成熟开源组件开发，降低调试难度；核心功能模块分阶段开发、分批次测试</w:t>
            </w:r>
          </w:p>
        </w:tc>
      </w:tr>
    </w:tbl>
    <w:p w14:paraId="617EE54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平台开发模式选择上，参考钉钉、企业微信等企业服务类SaaS平台的成熟开发路径，结合项目团队技术背景、开发预算与周期要求，“碳账本”平台采用Hybrid混合开发模式，PC端与移动端同步适配，微信小程序作为轻量化入口同步开发，核心技术开发工作由团队技术成员主导，非核心模块采用成熟开源组件二次开发，复杂技术节点依托指导老师科研资源提供技术支持。</w:t>
      </w:r>
    </w:p>
    <w:p w14:paraId="2FCC373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平台开发分为三个阶段：第一阶段（3个月）完成MVP最小可行产品开发，实现票据识别、基础碳核算、简易报告生成核心功能；第二阶段（6个月）完成全功能模块开发与迭代优化，上线ESG评分、金融对接、可视化驾驶舱等进阶功能；第三阶段（6个月）完成平台性能优化与多端适配，支持高并发访问与API接口开放。</w:t>
      </w:r>
    </w:p>
    <w:p w14:paraId="298C91C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综合来看，平台开发所采用的技术均为行业成熟商用技术，开源生态完善，开发门槛可控，团队技术背景与能力可覆盖核心开发需求，同时可依托高校科研资源解决技术难点，无论是技术层面、成本层面还是周期层面，平台开发均具备极强的可行性。</w:t>
      </w:r>
    </w:p>
    <w:p w14:paraId="7706D5DB">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49" w:name="_Toc22291"/>
      <w:r>
        <w:rPr>
          <w:rFonts w:hint="eastAsia" w:ascii="黑体" w:hAnsi="黑体" w:eastAsia="黑体" w:cs="黑体"/>
          <w:lang w:val="en-US" w:eastAsia="zh-CN"/>
        </w:rPr>
        <w:t>8.4.2 收入预测及用户调查</w:t>
      </w:r>
      <w:bookmarkEnd w:id="149"/>
    </w:p>
    <w:p w14:paraId="67C5E9E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在项目初期，“碳账本”平台重点聚焦电商生态中小企业，以下基于市场调研数据，对平台在电商垂直赛道的收入情况进行精准预测与可行性验证。</w:t>
      </w:r>
    </w:p>
    <w:p w14:paraId="520F297D">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为精准掌握目标用户需求与付费意愿，项目团队面向淘宝、京东、拼多多等平台电商中小企业，通过线上问卷与线下访谈相结合的方式开展市场调研，累计回收有效问卷426份，深度访谈电商商家38家，核心调研数据分析如下：</w:t>
      </w:r>
    </w:p>
    <w:p w14:paraId="517CE1E1">
      <w:pPr>
        <w:keepNext w:val="0"/>
        <w:keepLines w:val="0"/>
        <w:pageBreakBefore w:val="0"/>
        <w:widowControl w:val="0"/>
        <w:numPr>
          <w:ilvl w:val="0"/>
          <w:numId w:val="3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付费意愿调研分析</w:t>
      </w:r>
    </w:p>
    <w:p w14:paraId="0AD8ABF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Q：若有一款轻量化工具可自动完成碳核算、生成ESG合规报告，满足平台绿色商家认证、绿色信贷申请需求，您是否愿意付费使用？</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2211"/>
        <w:gridCol w:w="2211"/>
        <w:gridCol w:w="2211"/>
        <w:gridCol w:w="2211"/>
      </w:tblGrid>
      <w:tr w14:paraId="742DB8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11"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65DDD2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付费意愿</w:t>
            </w:r>
          </w:p>
        </w:tc>
        <w:tc>
          <w:tcPr>
            <w:tcW w:w="2211"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5CDEC2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愿意付费</w:t>
            </w:r>
          </w:p>
        </w:tc>
        <w:tc>
          <w:tcPr>
            <w:tcW w:w="2211"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54C84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视情况而定</w:t>
            </w:r>
          </w:p>
        </w:tc>
        <w:tc>
          <w:tcPr>
            <w:tcW w:w="2211"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0BCF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不愿意付费</w:t>
            </w:r>
          </w:p>
        </w:tc>
      </w:tr>
      <w:tr w14:paraId="2C250D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11"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7C977A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占比</w:t>
            </w:r>
          </w:p>
        </w:tc>
        <w:tc>
          <w:tcPr>
            <w:tcW w:w="2211"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7FEA07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72.3%</w:t>
            </w:r>
          </w:p>
        </w:tc>
        <w:tc>
          <w:tcPr>
            <w:tcW w:w="2211"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3D8460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18.5%</w:t>
            </w:r>
          </w:p>
        </w:tc>
        <w:tc>
          <w:tcPr>
            <w:tcW w:w="2211"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3FF885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9.2%</w:t>
            </w:r>
          </w:p>
        </w:tc>
      </w:tr>
    </w:tbl>
    <w:p w14:paraId="088CBF8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调研结果显示，72.3%的电商商家明确愿意付费使用平台服务，18.5%的商家表示视情况而定，假定视情况而定的商家中有50%最终选择付费，最终目标用户付费意愿可达81.55%，用户付费基础扎实。</w:t>
      </w:r>
    </w:p>
    <w:p w14:paraId="1B897C1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Q：若您愿意付费使用，每年可接受的工具服务费用是多少？</w:t>
      </w:r>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474"/>
        <w:gridCol w:w="1474"/>
        <w:gridCol w:w="1474"/>
        <w:gridCol w:w="1474"/>
        <w:gridCol w:w="1474"/>
        <w:gridCol w:w="1474"/>
      </w:tblGrid>
      <w:tr w14:paraId="2C698F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2CB2D0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费用区间</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9DBA0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＜500元</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69C40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500-1000元</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AE7FF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1000-3000元</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637BC1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3000-5000元</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6E83C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＞5000元</w:t>
            </w:r>
          </w:p>
        </w:tc>
      </w:tr>
      <w:tr w14:paraId="4FCB21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20024D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占比</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1F202A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16.8%</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54AF77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35.2%</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23461A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28.4%</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549151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12.7%</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4D0FEA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6.9%</w:t>
            </w:r>
          </w:p>
        </w:tc>
      </w:tr>
    </w:tbl>
    <w:p w14:paraId="4146165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取各区间中间值测算，愿意付费的电商商家年均付费意愿期望值为1486元，与平台标准版999元/年、高级版2999元/年的定价体系高度匹配，定价符合目标用户付费能力与消费预期。</w:t>
      </w:r>
    </w:p>
    <w:p w14:paraId="71080BD2">
      <w:pPr>
        <w:keepNext w:val="0"/>
        <w:keepLines w:val="0"/>
        <w:pageBreakBefore w:val="0"/>
        <w:widowControl w:val="0"/>
        <w:numPr>
          <w:ilvl w:val="0"/>
          <w:numId w:val="3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用户规模与活跃频次调研</w:t>
      </w:r>
    </w:p>
    <w:p w14:paraId="2FFA40B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Q：您每年查询/申报绿色商家认证、政策补贴、绿色信贷相关业务的频次是？</w:t>
      </w:r>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1474"/>
        <w:gridCol w:w="1474"/>
        <w:gridCol w:w="1474"/>
        <w:gridCol w:w="1474"/>
        <w:gridCol w:w="1474"/>
        <w:gridCol w:w="1474"/>
      </w:tblGrid>
      <w:tr w14:paraId="3220C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474" w:type="dxa"/>
            <w:tcBorders>
              <w:top w:val="single" w:color="000000" w:sz="12" w:space="0"/>
              <w:left w:val="nil"/>
              <w:bottom w:val="single" w:color="000000" w:sz="4" w:space="0"/>
              <w:right w:val="nil"/>
              <w:tl2br w:val="nil"/>
            </w:tcBorders>
            <w:shd w:val="clear" w:color="auto" w:fill="auto"/>
            <w:tcMar>
              <w:top w:w="60" w:type="dxa"/>
              <w:left w:w="120" w:type="dxa"/>
              <w:bottom w:w="30" w:type="dxa"/>
              <w:right w:w="120" w:type="dxa"/>
            </w:tcMar>
            <w:vAlign w:val="center"/>
          </w:tcPr>
          <w:p w14:paraId="06D81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使用频次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253BA8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每月1次及以上</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104A25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每季度1次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0BDB0F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每半年1次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4AD08E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每年1次</w:t>
            </w:r>
          </w:p>
        </w:tc>
        <w:tc>
          <w:tcPr>
            <w:tcW w:w="1474" w:type="dxa"/>
            <w:tcBorders>
              <w:top w:val="single" w:color="000000" w:sz="12" w:space="0"/>
              <w:left w:val="nil"/>
              <w:bottom w:val="single" w:color="000000" w:sz="4" w:space="0"/>
              <w:right w:val="nil"/>
            </w:tcBorders>
            <w:shd w:val="clear" w:color="auto" w:fill="auto"/>
            <w:tcMar>
              <w:top w:w="60" w:type="dxa"/>
              <w:left w:w="120" w:type="dxa"/>
              <w:bottom w:w="30" w:type="dxa"/>
              <w:right w:w="120" w:type="dxa"/>
            </w:tcMar>
            <w:vAlign w:val="center"/>
          </w:tcPr>
          <w:p w14:paraId="773FF6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极少查询</w:t>
            </w:r>
          </w:p>
        </w:tc>
      </w:tr>
      <w:tr w14:paraId="2515CB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rPr>
          <w:jc w:val="center"/>
        </w:trPr>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59B6E7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占比</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16F4C4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22.5%</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6B4E21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38.7%</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7713C6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24.6%</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5706C5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11.2%</w:t>
            </w:r>
          </w:p>
        </w:tc>
        <w:tc>
          <w:tcPr>
            <w:tcW w:w="1474" w:type="dxa"/>
            <w:tcBorders>
              <w:top w:val="single" w:color="000000" w:sz="4" w:space="0"/>
              <w:left w:val="nil"/>
              <w:bottom w:val="single" w:color="000000" w:sz="12" w:space="0"/>
              <w:right w:val="nil"/>
            </w:tcBorders>
            <w:shd w:val="clear" w:color="auto" w:fill="auto"/>
            <w:tcMar>
              <w:top w:w="60" w:type="dxa"/>
              <w:left w:w="120" w:type="dxa"/>
              <w:bottom w:w="30" w:type="dxa"/>
              <w:right w:w="120" w:type="dxa"/>
            </w:tcMar>
            <w:vAlign w:val="center"/>
          </w:tcPr>
          <w:p w14:paraId="1A5B36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heme="minorEastAsia" w:hAnsiTheme="minorEastAsia" w:eastAsiaTheme="minorEastAsia" w:cstheme="minorEastAsia"/>
                <w:b w:val="0"/>
                <w:color w:val="000000"/>
              </w:rPr>
            </w:pPr>
            <w:r>
              <w:rPr>
                <w:rFonts w:hint="eastAsia" w:asciiTheme="minorEastAsia" w:hAnsiTheme="minorEastAsia" w:eastAsiaTheme="minorEastAsia" w:cstheme="minorEastAsia"/>
                <w:b w:val="0"/>
                <w:color w:val="000000"/>
              </w:rPr>
              <w:t>3.0%</w:t>
            </w:r>
          </w:p>
        </w:tc>
      </w:tr>
    </w:tbl>
    <w:p w14:paraId="2041FE1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调研结果显示，97%的电商商家每年至少有1次相关业务需求，61.2%的商家每季度至少有1次使用需求，平台用户使用频次高，粘性基础强，不存在一次性使用的低频问题。</w:t>
      </w:r>
    </w:p>
    <w:p w14:paraId="473D45A8">
      <w:pPr>
        <w:keepNext w:val="0"/>
        <w:keepLines w:val="0"/>
        <w:pageBreakBefore w:val="0"/>
        <w:widowControl w:val="0"/>
        <w:numPr>
          <w:ilvl w:val="0"/>
          <w:numId w:val="3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预期收入测算</w:t>
      </w:r>
    </w:p>
    <w:p w14:paraId="3ACED50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据商务部公开数据显示，我国电商平台活跃中小企业商家数量超1200万家，项目首阶段聚焦电商垂直赛道，按保守渗透率测算收入规模：</w:t>
      </w:r>
    </w:p>
    <w:p w14:paraId="05493F82">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试点期（第一年）：</w:t>
      </w:r>
      <w:r>
        <w:rPr>
          <w:rFonts w:hint="eastAsia" w:asciiTheme="minorEastAsia" w:hAnsiTheme="minorEastAsia" w:eastAsiaTheme="minorEastAsia" w:cstheme="minorEastAsia"/>
          <w:b w:val="0"/>
          <w:bCs w:val="0"/>
          <w:lang w:val="en-US" w:eastAsia="zh-CN"/>
        </w:rPr>
        <w:t>完成1000家种子用户积累，付费转化率30%，年均ARPU值1200元，SaaS订阅收入36万元，叠加增值服务与金融分润收入，全年营收36.47万元，与财务预算数据一致；</w:t>
      </w:r>
    </w:p>
    <w:p w14:paraId="6993F8CE">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成长期（第二年）：</w:t>
      </w:r>
      <w:r>
        <w:rPr>
          <w:rFonts w:hint="eastAsia" w:asciiTheme="minorEastAsia" w:hAnsiTheme="minorEastAsia" w:eastAsiaTheme="minorEastAsia" w:cstheme="minorEastAsia"/>
          <w:b w:val="0"/>
          <w:bCs w:val="0"/>
          <w:lang w:val="en-US" w:eastAsia="zh-CN"/>
        </w:rPr>
        <w:t>完成5000家用户积累，付费转化率35%，年均ARPU值1300元，SaaS订阅收入227.5万元，叠加其他板块收入，全年营收245.62万元，符合财务预算增长预期；</w:t>
      </w:r>
    </w:p>
    <w:p w14:paraId="3DFCA2CA">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发展期（第三年）：</w:t>
      </w:r>
      <w:r>
        <w:rPr>
          <w:rFonts w:hint="eastAsia" w:asciiTheme="minorEastAsia" w:hAnsiTheme="minorEastAsia" w:eastAsiaTheme="minorEastAsia" w:cstheme="minorEastAsia"/>
          <w:b w:val="0"/>
          <w:bCs w:val="0"/>
          <w:lang w:val="en-US" w:eastAsia="zh-CN"/>
        </w:rPr>
        <w:t>完成15000家用户积累，付费转化率40%，年均ARPU值1400元，SaaS订阅收入840万元，叠加其他板块收入，全年营收769.92万元，具备规模化盈利基础。</w:t>
      </w:r>
    </w:p>
    <w:p w14:paraId="73F3B5A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同时，平台后续可向制造业小微企业、供应链配套企业等细分市场拓展，市场天花板极高，收入增长空间广阔。</w:t>
      </w:r>
    </w:p>
    <w:p w14:paraId="013B1322">
      <w:pPr>
        <w:keepNext w:val="0"/>
        <w:keepLines w:val="0"/>
        <w:pageBreakBefore w:val="0"/>
        <w:widowControl w:val="0"/>
        <w:numPr>
          <w:ilvl w:val="0"/>
          <w:numId w:val="35"/>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可行性总结</w:t>
      </w:r>
    </w:p>
    <w:p w14:paraId="684A3E1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sectPr>
          <w:pgSz w:w="11906" w:h="16838"/>
          <w:pgMar w:top="1417" w:right="1531" w:bottom="1417" w:left="1531" w:header="851" w:footer="992" w:gutter="0"/>
          <w:pgNumType w:fmt="decimal"/>
          <w:cols w:space="0" w:num="1"/>
          <w:rtlGutter w:val="0"/>
          <w:docGrid w:type="linesAndChars" w:linePitch="378" w:charSpace="5734"/>
        </w:sectPr>
      </w:pPr>
      <w:r>
        <w:rPr>
          <w:rFonts w:hint="eastAsia" w:asciiTheme="minorEastAsia" w:hAnsiTheme="minorEastAsia" w:eastAsiaTheme="minorEastAsia" w:cstheme="minorEastAsia"/>
          <w:b w:val="0"/>
          <w:bCs w:val="0"/>
          <w:lang w:val="en-US" w:eastAsia="zh-CN"/>
        </w:rPr>
        <w:t>综合用户调研数据与收入测算结果，平台目标用户付费意愿强烈，定价体系与用户付费能力高度匹配，用户使用需求高频且刚性，市场规模广阔，收入预测具备扎实的用户基础与市场数据支撑。随着用户规模的持续增长，平台规模效应将进一步凸显，边际成本持续降低，盈利能力将持续提升，项目商业变现路径清晰，市场落地具备极强的可行性。</w:t>
      </w:r>
    </w:p>
    <w:p w14:paraId="779D0E7F">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150" w:name="_Toc14029"/>
      <w:r>
        <w:rPr>
          <w:rFonts w:hint="eastAsia"/>
          <w:lang w:val="en-US" w:eastAsia="zh-CN"/>
        </w:rPr>
        <w:t>第九章 企业管理方案</w:t>
      </w:r>
      <w:bookmarkEnd w:id="150"/>
    </w:p>
    <w:p w14:paraId="7247D1E0">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51" w:name="_Toc2705"/>
      <w:r>
        <w:rPr>
          <w:rFonts w:hint="eastAsia" w:ascii="黑体" w:hAnsi="黑体" w:eastAsia="黑体" w:cs="黑体"/>
          <w:b w:val="0"/>
          <w:bCs w:val="0"/>
          <w:sz w:val="28"/>
          <w:szCs w:val="240"/>
          <w:lang w:val="en-US" w:eastAsia="zh-CN"/>
        </w:rPr>
        <w:t>9.1 组织形式董事会</w:t>
      </w:r>
      <w:bookmarkEnd w:id="151"/>
    </w:p>
    <w:p w14:paraId="5135603D">
      <w:pPr>
        <w:pStyle w:val="5"/>
        <w:keepNext w:val="0"/>
        <w:keepLines w:val="0"/>
        <w:pageBreakBefore w:val="0"/>
        <w:widowControl w:val="0"/>
        <w:kinsoku/>
        <w:wordWrap/>
        <w:overflowPunct/>
        <w:topLinePunct w:val="0"/>
        <w:autoSpaceDE/>
        <w:autoSpaceDN/>
        <w:bidi w:val="0"/>
        <w:adjustRightInd/>
        <w:snapToGrid/>
        <w:textAlignment w:val="auto"/>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drawing>
          <wp:anchor distT="0" distB="0" distL="114300" distR="114300" simplePos="0" relativeHeight="251684864" behindDoc="0" locked="0" layoutInCell="1" allowOverlap="1">
            <wp:simplePos x="0" y="0"/>
            <wp:positionH relativeFrom="column">
              <wp:posOffset>0</wp:posOffset>
            </wp:positionH>
            <wp:positionV relativeFrom="paragraph">
              <wp:posOffset>38735</wp:posOffset>
            </wp:positionV>
            <wp:extent cx="5615940" cy="2993390"/>
            <wp:effectExtent l="9525" t="9525" r="13335" b="19685"/>
            <wp:wrapTopAndBottom/>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6"/>
                    <a:stretch>
                      <a:fillRect/>
                    </a:stretch>
                  </pic:blipFill>
                  <pic:spPr>
                    <a:xfrm>
                      <a:off x="0" y="0"/>
                      <a:ext cx="5615940" cy="2993390"/>
                    </a:xfrm>
                    <a:prstGeom prst="rect">
                      <a:avLst/>
                    </a:prstGeom>
                    <a:noFill/>
                    <a:ln>
                      <a:solidFill>
                        <a:schemeClr val="tx1"/>
                      </a:solidFill>
                    </a:ln>
                  </pic:spPr>
                </pic:pic>
              </a:graphicData>
            </a:graphic>
          </wp:anchor>
        </w:drawing>
      </w:r>
      <w:r>
        <w:rPr>
          <w:rFonts w:hint="eastAsia" w:asciiTheme="majorEastAsia" w:hAnsiTheme="majorEastAsia" w:eastAsiaTheme="majorEastAsia" w:cstheme="majorEastAsia"/>
          <w:b/>
          <w:bCs/>
          <w:lang w:val="en-US" w:eastAsia="zh-CN"/>
        </w:rPr>
        <w:t xml:space="preserve">图 </w:t>
      </w:r>
      <w:bookmarkStart w:id="152" w:name="_Toc3194"/>
      <w:r>
        <w:rPr>
          <w:rFonts w:hint="eastAsia" w:asciiTheme="majorEastAsia" w:hAnsiTheme="majorEastAsia" w:eastAsiaTheme="majorEastAsia" w:cstheme="majorEastAsia"/>
          <w:b/>
          <w:bCs/>
          <w:lang w:val="en-US" w:eastAsia="zh-CN"/>
        </w:rPr>
        <w:t>28 碳融智核项目企业组织架构与部门职能分布图</w:t>
      </w:r>
      <w:bookmarkEnd w:id="152"/>
    </w:p>
    <w:p w14:paraId="624CE107">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53" w:name="_Toc4258"/>
      <w:r>
        <w:rPr>
          <w:rFonts w:hint="eastAsia" w:ascii="黑体" w:hAnsi="黑体" w:eastAsia="黑体" w:cs="黑体"/>
          <w:b w:val="0"/>
          <w:bCs w:val="0"/>
          <w:sz w:val="28"/>
          <w:szCs w:val="240"/>
          <w:lang w:val="en-US" w:eastAsia="zh-CN"/>
        </w:rPr>
        <w:t>9.2 部门职能</w:t>
      </w:r>
      <w:bookmarkEnd w:id="153"/>
    </w:p>
    <w:p w14:paraId="78B4C876">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董事会：</w:t>
      </w:r>
      <w:r>
        <w:rPr>
          <w:rFonts w:hint="eastAsia" w:asciiTheme="minorEastAsia" w:hAnsiTheme="minorEastAsia" w:eastAsiaTheme="minorEastAsia" w:cstheme="minorEastAsia"/>
          <w:b w:val="0"/>
          <w:bCs w:val="0"/>
          <w:lang w:val="en-US" w:eastAsia="zh-CN"/>
        </w:rPr>
        <w:t>由股东组成，股东可以不参与经营，对参与经营的股东按照人事制度进行绩效考评并发放工资。</w:t>
      </w:r>
    </w:p>
    <w:p w14:paraId="7D9BAF8D">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高管层：</w:t>
      </w:r>
      <w:r>
        <w:rPr>
          <w:rFonts w:hint="eastAsia" w:asciiTheme="minorEastAsia" w:hAnsiTheme="minorEastAsia" w:eastAsiaTheme="minorEastAsia" w:cstheme="minorEastAsia"/>
          <w:b w:val="0"/>
          <w:bCs w:val="0"/>
          <w:lang w:val="en-US" w:eastAsia="zh-CN"/>
        </w:rPr>
        <w:t>由董事会选拔任命，对董事会负责。负责企业年内重大事项的决策与管理。</w:t>
      </w:r>
    </w:p>
    <w:p w14:paraId="270C4C6C">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策划部：</w:t>
      </w:r>
      <w:r>
        <w:rPr>
          <w:rFonts w:hint="eastAsia" w:asciiTheme="minorEastAsia" w:hAnsiTheme="minorEastAsia" w:eastAsiaTheme="minorEastAsia" w:cstheme="minorEastAsia"/>
          <w:b w:val="0"/>
          <w:bCs w:val="0"/>
          <w:lang w:val="en-US" w:eastAsia="zh-CN"/>
        </w:rPr>
        <w:t>由高管层选拔任命，对高管层负责。负责企业长短期经营计划的制定与筹备。</w:t>
      </w:r>
    </w:p>
    <w:p w14:paraId="3D804CBC">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技术部：</w:t>
      </w:r>
      <w:r>
        <w:rPr>
          <w:rFonts w:hint="eastAsia" w:asciiTheme="minorEastAsia" w:hAnsiTheme="minorEastAsia" w:eastAsiaTheme="minorEastAsia" w:cstheme="minorEastAsia"/>
          <w:b w:val="0"/>
          <w:bCs w:val="0"/>
          <w:lang w:val="en-US" w:eastAsia="zh-CN"/>
        </w:rPr>
        <w:t>由高管层选拔任命，对高管层负责。负责碳核算平台、数据系统的开发、迭代与维护。</w:t>
      </w:r>
    </w:p>
    <w:p w14:paraId="653E804D">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财务部：</w:t>
      </w:r>
      <w:r>
        <w:rPr>
          <w:rFonts w:hint="eastAsia" w:asciiTheme="minorEastAsia" w:hAnsiTheme="minorEastAsia" w:eastAsiaTheme="minorEastAsia" w:cstheme="minorEastAsia"/>
          <w:b w:val="0"/>
          <w:bCs w:val="0"/>
          <w:lang w:val="en-US" w:eastAsia="zh-CN"/>
        </w:rPr>
        <w:t>由高管层选拔任命，对高管层负责。负责会计核算、成本控制、财务管理与资金统筹。</w:t>
      </w:r>
    </w:p>
    <w:p w14:paraId="440F5A09">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管理部：</w:t>
      </w:r>
      <w:r>
        <w:rPr>
          <w:rFonts w:hint="eastAsia" w:asciiTheme="minorEastAsia" w:hAnsiTheme="minorEastAsia" w:eastAsiaTheme="minorEastAsia" w:cstheme="minorEastAsia"/>
          <w:b w:val="0"/>
          <w:bCs w:val="0"/>
          <w:lang w:val="en-US" w:eastAsia="zh-CN"/>
        </w:rPr>
        <w:t>由高管层选拔任命，对高管层负责。负责内部运营管理、人员管理、流程规范与日常事务协调。</w:t>
      </w:r>
    </w:p>
    <w:p w14:paraId="188E93FE">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公关部：</w:t>
      </w:r>
      <w:r>
        <w:rPr>
          <w:rFonts w:hint="eastAsia" w:asciiTheme="minorEastAsia" w:hAnsiTheme="minorEastAsia" w:eastAsiaTheme="minorEastAsia" w:cstheme="minorEastAsia"/>
          <w:b w:val="0"/>
          <w:bCs w:val="0"/>
          <w:lang w:val="en-US" w:eastAsia="zh-CN"/>
        </w:rPr>
        <w:t>由高管层选拔任命，对高管层负责。负责与政府部门、金融机构、电商平台及合作企业维护良好合作关系。</w:t>
      </w:r>
    </w:p>
    <w:p w14:paraId="16C18D69">
      <w:pPr>
        <w:keepNext w:val="0"/>
        <w:keepLines w:val="0"/>
        <w:pageBreakBefore w:val="0"/>
        <w:widowControl w:val="0"/>
        <w:numPr>
          <w:ilvl w:val="0"/>
          <w:numId w:val="37"/>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宣传部：</w:t>
      </w:r>
      <w:r>
        <w:rPr>
          <w:rFonts w:hint="eastAsia" w:asciiTheme="minorEastAsia" w:hAnsiTheme="minorEastAsia" w:eastAsiaTheme="minorEastAsia" w:cstheme="minorEastAsia"/>
          <w:b w:val="0"/>
          <w:bCs w:val="0"/>
          <w:lang w:val="en-US" w:eastAsia="zh-CN"/>
        </w:rPr>
        <w:t>由高管层选拔任命，对高管层负责。负责品牌宣传、市场推广、活动策划执行及用户反馈收集与分析。</w:t>
      </w:r>
    </w:p>
    <w:p w14:paraId="443AC96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54" w:name="_Toc11205"/>
      <w:r>
        <w:rPr>
          <w:rFonts w:hint="eastAsia" w:ascii="黑体" w:hAnsi="黑体" w:eastAsia="黑体" w:cs="黑体"/>
          <w:b w:val="0"/>
          <w:bCs w:val="0"/>
          <w:sz w:val="28"/>
          <w:szCs w:val="240"/>
          <w:lang w:val="en-US" w:eastAsia="zh-CN"/>
        </w:rPr>
        <w:t>9.3 管理制度</w:t>
      </w:r>
      <w:bookmarkEnd w:id="154"/>
    </w:p>
    <w:p w14:paraId="1434DCCC">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55" w:name="_Toc32261"/>
      <w:r>
        <w:rPr>
          <w:rFonts w:hint="eastAsia" w:ascii="黑体" w:hAnsi="黑体" w:eastAsia="黑体" w:cs="黑体"/>
          <w:lang w:val="en-US" w:eastAsia="zh-CN"/>
        </w:rPr>
        <w:t>9.3.1 价值化管理</w:t>
      </w:r>
      <w:bookmarkEnd w:id="155"/>
    </w:p>
    <w:p w14:paraId="73841C8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在价值化管理下，通过预期收益、项目营收预测与成本管控相结合，合理控制运营与研发投入，持续提升公司价值与盈利水平。</w:t>
      </w:r>
    </w:p>
    <w:p w14:paraId="757AC3C6">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56" w:name="_Toc22838"/>
      <w:r>
        <w:rPr>
          <w:rFonts w:hint="eastAsia" w:ascii="黑体" w:hAnsi="黑体" w:eastAsia="黑体" w:cs="黑体"/>
          <w:lang w:val="en-US" w:eastAsia="zh-CN"/>
        </w:rPr>
        <w:t>9.3.2 民主化管理</w:t>
      </w:r>
      <w:bookmarkEnd w:id="156"/>
    </w:p>
    <w:p w14:paraId="4441479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作为互联网与绿色科技相结合的企业，需要持续保持创新活力。定期听取员工意见，提高员工积极性与归属感，帮助管理层更贴近市场与客户需求，避免决策脱离实际。</w:t>
      </w:r>
    </w:p>
    <w:p w14:paraId="3DE6B9E0">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57" w:name="_Toc23297"/>
      <w:r>
        <w:rPr>
          <w:rFonts w:hint="eastAsia" w:ascii="黑体" w:hAnsi="黑体" w:eastAsia="黑体" w:cs="黑体"/>
          <w:lang w:val="en-US" w:eastAsia="zh-CN"/>
        </w:rPr>
        <w:t>9.3.3 系统化管理</w:t>
      </w:r>
      <w:bookmarkEnd w:id="157"/>
    </w:p>
    <w:p w14:paraId="00B94C4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sectPr>
          <w:pgSz w:w="11906" w:h="16838"/>
          <w:pgMar w:top="1417" w:right="1531" w:bottom="1417" w:left="1531" w:header="851" w:footer="992" w:gutter="0"/>
          <w:pgNumType w:fmt="decimal"/>
          <w:cols w:space="0" w:num="1"/>
          <w:rtlGutter w:val="0"/>
          <w:docGrid w:type="linesAndChars" w:linePitch="378" w:charSpace="5734"/>
        </w:sectPr>
      </w:pPr>
      <w:r>
        <w:rPr>
          <w:rFonts w:hint="eastAsia" w:asciiTheme="minorEastAsia" w:hAnsiTheme="minorEastAsia" w:eastAsiaTheme="minorEastAsia" w:cstheme="minorEastAsia"/>
          <w:b w:val="0"/>
          <w:bCs w:val="0"/>
          <w:lang w:val="en-US" w:eastAsia="zh-CN"/>
        </w:rPr>
        <w:t>统一配置团队资源，明确各层次、各部门、各岗位职责，推动部门间高效协同，形成整体合力，确保企业战略、经营计划与项目目标稳步落地。</w:t>
      </w:r>
    </w:p>
    <w:p w14:paraId="63C88677">
      <w:pPr>
        <w:pStyle w:val="2"/>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bookmarkStart w:id="158" w:name="_Toc16374"/>
      <w:r>
        <w:rPr>
          <w:rFonts w:hint="eastAsia"/>
          <w:lang w:val="en-US" w:eastAsia="zh-CN"/>
        </w:rPr>
        <w:t>第十章 风险评估</w:t>
      </w:r>
      <w:bookmarkEnd w:id="158"/>
    </w:p>
    <w:p w14:paraId="1AD2172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59" w:name="_Toc9418"/>
      <w:r>
        <w:rPr>
          <w:rFonts w:hint="eastAsia" w:ascii="黑体" w:hAnsi="黑体" w:eastAsia="黑体" w:cs="黑体"/>
          <w:b w:val="0"/>
          <w:bCs w:val="0"/>
          <w:sz w:val="28"/>
          <w:szCs w:val="240"/>
          <w:lang w:val="en-US" w:eastAsia="zh-CN"/>
        </w:rPr>
        <w:t>10.1 市场竞争风险</w:t>
      </w:r>
      <w:bookmarkEnd w:id="159"/>
    </w:p>
    <w:p w14:paraId="4B94C1B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目前市场上已存在传统碳咨询公司、大型企业专用碳管理系统、部分通用型 ESG 平台等各类竞争者，服务体系成熟且具备一定品牌积累，对新项目形成前期竞争压力。中小企业用户长期习惯免费工具或人工咨询模式，若要推广本平台轻量化、标准化的数字化服务，需要引导用户改变使用习惯，接受更高效、更规范的管理方式。</w:t>
      </w:r>
    </w:p>
    <w:p w14:paraId="0D2CA071">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我们通过实际调研发现，传统咨询服务收费高、周期长、流程不透明，大型系统操作复杂、部署成本高，均无法适配中小企业轻量化、低成本、易操作的需求。本平台聚焦痛点，以简化操作、自动核算、快速出报告、对接绿色金融为核心优势，切实降低企业合规成本与时间成本，能够逐步替代低效、高成本的传统服务。同时，我们将持续加强线上线下推广，提升品牌知名度与用户覆盖率，巩固市场优势。</w:t>
      </w:r>
    </w:p>
    <w:p w14:paraId="474CD920">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若后续有新团队或大型平台进入同类赛道，将对我们的市场份额与用户增长造成冲击。为此，我们将加快产品迭代速度，缩短市场导入期，依托先发优势快速积累用户与标杆案例，建立行业壁垒。通过持续优化产品体验、拓展生态合作、提升用户粘性，巩固用户忠诚度，保持稳定的市场占有率。</w:t>
      </w:r>
    </w:p>
    <w:p w14:paraId="74D8F5A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市场竞争也会影响增值服务、订阅套餐的定价空间，进而影响项目收入与利润。我们将持续创新功能模块，推出行业定制化工具包、绿色金融对接、政策申报辅导等高价值服务，形成差异化竞争力，保证营收与利润稳定增长。</w:t>
      </w:r>
    </w:p>
    <w:p w14:paraId="0C5B5CFE">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60" w:name="_Toc810"/>
      <w:r>
        <w:rPr>
          <w:rFonts w:hint="eastAsia" w:ascii="黑体" w:hAnsi="黑体" w:eastAsia="黑体" w:cs="黑体"/>
          <w:b w:val="0"/>
          <w:bCs w:val="0"/>
          <w:sz w:val="28"/>
          <w:szCs w:val="240"/>
          <w:lang w:val="en-US" w:eastAsia="zh-CN"/>
        </w:rPr>
        <w:t>10.2 技术风险</w:t>
      </w:r>
      <w:bookmarkEnd w:id="160"/>
    </w:p>
    <w:p w14:paraId="561B825A">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61" w:name="_Toc10661"/>
      <w:r>
        <w:rPr>
          <w:rFonts w:hint="eastAsia" w:ascii="黑体" w:hAnsi="黑体" w:eastAsia="黑体" w:cs="黑体"/>
          <w:lang w:val="en-US" w:eastAsia="zh-CN"/>
        </w:rPr>
        <w:t>10.2.1 技术抄袭与同质化</w:t>
      </w:r>
      <w:bookmarkEnd w:id="161"/>
    </w:p>
    <w:p w14:paraId="622AC7A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当前互联网产品模式易被模仿，平台上线初期可能面临功能、模式被抄袭或复刻的风险，若被大型机构快速跟进，将削弱项目竞争优势。为此，团队制定以下应对策略：</w:t>
      </w:r>
    </w:p>
    <w:p w14:paraId="5A59492B">
      <w:pPr>
        <w:keepNext w:val="0"/>
        <w:keepLines w:val="0"/>
        <w:pageBreakBefore w:val="0"/>
        <w:widowControl w:val="0"/>
        <w:numPr>
          <w:ilvl w:val="0"/>
          <w:numId w:val="3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加强知识产权保护。</w:t>
      </w:r>
    </w:p>
    <w:p w14:paraId="0E7D2FC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及时申请软件著作权、发明专利与商标保护，对核心算法、数据模型、核算逻辑进行技术保密，在出现侵权行为时可通过法律途径有效维权。</w:t>
      </w:r>
    </w:p>
    <w:p w14:paraId="6A032DBF">
      <w:pPr>
        <w:keepNext w:val="0"/>
        <w:keepLines w:val="0"/>
        <w:pageBreakBefore w:val="0"/>
        <w:widowControl w:val="0"/>
        <w:numPr>
          <w:ilvl w:val="0"/>
          <w:numId w:val="3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快速占领细分市场，建立壁垒。</w:t>
      </w:r>
    </w:p>
    <w:p w14:paraId="3D8C2D4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优先深耕电商、小微企业等细分场景，快速形成用户规模与行业口碑，缩短产品成长期，在竞争者进入前占据稳定市场地位，逐步扩大服务范围。</w:t>
      </w:r>
    </w:p>
    <w:p w14:paraId="5CE889EB">
      <w:pPr>
        <w:keepNext w:val="0"/>
        <w:keepLines w:val="0"/>
        <w:pageBreakBefore w:val="0"/>
        <w:widowControl w:val="0"/>
        <w:numPr>
          <w:ilvl w:val="0"/>
          <w:numId w:val="38"/>
        </w:numPr>
        <w:kinsoku/>
        <w:wordWrap/>
        <w:overflowPunct/>
        <w:topLinePunct w:val="0"/>
        <w:autoSpaceDE/>
        <w:autoSpaceDN/>
        <w:bidi w:val="0"/>
        <w:adjustRightInd/>
        <w:snapToGrid/>
        <w:ind w:left="425" w:leftChars="0" w:hanging="425" w:firstLineChars="0"/>
        <w:textAlignment w:val="auto"/>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强化口碑与用户体验。</w:t>
      </w:r>
    </w:p>
    <w:p w14:paraId="6E551A1E">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将产品质量、数据准确性、用户易用性作为核心竞争力，依靠良好体验形成口碑传播，使用户愿意长期使用并主动推荐，形成难以复制的用户基础与品牌信任。</w:t>
      </w:r>
    </w:p>
    <w:p w14:paraId="4319ABB5">
      <w:pPr>
        <w:pStyle w:val="4"/>
        <w:keepNext/>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162" w:name="_Toc30931"/>
      <w:r>
        <w:rPr>
          <w:rFonts w:hint="eastAsia" w:ascii="黑体" w:hAnsi="黑体" w:eastAsia="黑体" w:cs="黑体"/>
          <w:lang w:val="en-US" w:eastAsia="zh-CN"/>
        </w:rPr>
        <w:t>10.2.2 数据安全与隐私泄露风险</w:t>
      </w:r>
      <w:bookmarkEnd w:id="162"/>
    </w:p>
    <w:p w14:paraId="132F3DC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平台涉及企业能耗数据、财务数据、生产经营信息等敏感内容，一旦出现数据泄露、系统被攻击等情况，将对企业信誉与用户信任造成严重影响。</w:t>
      </w:r>
    </w:p>
    <w:p w14:paraId="4666AFE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对此，我们将建立严格的数据安全管理制度，采用加密存储、权限分级、访问日志等技术手段保障数据安全；定期进行系统漏洞检测与安全升级，防范黑客攻击、病毒入侵等风险；严格遵守国家数据安全法规，承诺不泄露、不滥用用户数据，保障企业信息安全。</w:t>
      </w:r>
    </w:p>
    <w:p w14:paraId="0C40BBB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同时，项目每年将预留一定比例盈利，专项用于系统维护、功能升级与安全加固，保证平台长期稳定运行。</w:t>
      </w:r>
    </w:p>
    <w:p w14:paraId="04ACFD09">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63" w:name="_Toc27933"/>
      <w:r>
        <w:rPr>
          <w:rFonts w:hint="eastAsia" w:ascii="黑体" w:hAnsi="黑体" w:eastAsia="黑体" w:cs="黑体"/>
          <w:b w:val="0"/>
          <w:bCs w:val="0"/>
          <w:sz w:val="28"/>
          <w:szCs w:val="240"/>
          <w:lang w:val="en-US" w:eastAsia="zh-CN"/>
        </w:rPr>
        <w:t>10.3 政策风险</w:t>
      </w:r>
      <w:bookmarkEnd w:id="163"/>
    </w:p>
    <w:p w14:paraId="1C2AE17A">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碳核算、ESG 披露、双碳相关政策标准处于持续更新完善中，若国家或地方出台新的核算口径、监管要求、披露规范，平台现有功能可能出现不适应、不合规的情况，影响企业使用与合规效力。</w:t>
      </w:r>
    </w:p>
    <w:p w14:paraId="39B2547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对此，我们将建立政策动态跟踪机制，密切关注国家、地方及行业主管部门发布的最新标准，及时调整核算逻辑、报告模板与功能模块，确保平台始终符合最新政策要求。同时，设立用户反馈通道，及时响应企业在合规申报、报告出具中的问题，快速优化系统，避免因政策变动给用户带来损失。</w:t>
      </w:r>
    </w:p>
    <w:p w14:paraId="53BFE11B">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平台在提供碳数据、ESG 信息服务过程中，将严格执行信息审核机制，确保数据来源可追溯、核算过程可验证，杜绝虚假数据、错误报告产生，保障用户合规使用。</w:t>
      </w:r>
    </w:p>
    <w:p w14:paraId="15E65636">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64" w:name="_Toc11699"/>
      <w:r>
        <w:rPr>
          <w:rFonts w:hint="eastAsia" w:ascii="黑体" w:hAnsi="黑体" w:eastAsia="黑体" w:cs="黑体"/>
          <w:b w:val="0"/>
          <w:bCs w:val="0"/>
          <w:sz w:val="28"/>
          <w:szCs w:val="240"/>
          <w:lang w:val="en-US" w:eastAsia="zh-CN"/>
        </w:rPr>
        <w:t>10.4 盈利风险</w:t>
      </w:r>
      <w:bookmarkEnd w:id="164"/>
    </w:p>
    <w:p w14:paraId="34214F7D">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中小企业普遍对价格敏感，付费意愿与付费能力相对有限，部分用户更倾向使用免费工具或简易服务，可能导致平台付费转化率不及预期，对盈利造成压力。同时，市场上低价甚至免费工具的存在，也会对订阅收费模式形成冲击。</w:t>
      </w:r>
    </w:p>
    <w:p w14:paraId="08B0FCA4">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为此，我们坚持 “基础免费 + 增值付费” 模式，降低用户使用门槛，通过高质量服务提升用户付费意愿；不断丰富增值服务内容，如绿色金融对接、政策补贴申报、定制化碳效优化等，提高用户付费价值感知。</w:t>
      </w:r>
    </w:p>
    <w:p w14:paraId="6C062E13">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在推广过程中，若过度依赖广告或过度压缩免费服务，可能降低用户体验。我们将合理平衡商业化与用户体验，严格筛选合作机构，保证服务质量，提升用户满意度与长期留存，从而实现可持续盈利。</w:t>
      </w:r>
    </w:p>
    <w:p w14:paraId="4B40210F">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65" w:name="_Toc2755"/>
      <w:r>
        <w:rPr>
          <w:rFonts w:hint="eastAsia" w:ascii="黑体" w:hAnsi="黑体" w:eastAsia="黑体" w:cs="黑体"/>
          <w:b w:val="0"/>
          <w:bCs w:val="0"/>
          <w:sz w:val="28"/>
          <w:szCs w:val="240"/>
          <w:lang w:val="en-US" w:eastAsia="zh-CN"/>
        </w:rPr>
        <w:t>10.5 财务风险</w:t>
      </w:r>
      <w:bookmarkEnd w:id="165"/>
    </w:p>
    <w:p w14:paraId="708D8679">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项目初期研发投入、市场推广、人员成本较高，在用户规模与收入尚未稳定时，可能出现资金周转紧张、现金流不足等问题，影响正常运营。</w:t>
      </w:r>
    </w:p>
    <w:p w14:paraId="6B2BA3A7">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一方面，我们将合理控制成本，优化支出结构，减少非必要投入；另一方面，加快业务拓展，提高用户转化率与续费水平，提升营收能力，加快资金回笼。</w:t>
      </w:r>
    </w:p>
    <w:p w14:paraId="35CB5782">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团队将设立独立财务岗位，做到账务管理与资金管理分离、职责清晰，每笔收支严格记录，日清月结，规范报销流程，杜绝违规使用资金情况。</w:t>
      </w:r>
    </w:p>
    <w:p w14:paraId="5F308B7F">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为防范流动资金不足风险，每月制定财务计划，对大额支出与投资进行成本收益分析，谨慎决策；加强应收账款管理，合理计提坏账准备，建立客户信用评估机制，降低坏账风险。同时，积极拓展融资渠道，提升服务质量与市场规模，增强盈利能力，保障财务稳健。</w:t>
      </w:r>
    </w:p>
    <w:p w14:paraId="27084125">
      <w:pPr>
        <w:pStyle w:val="3"/>
        <w:keepNext/>
        <w:keepLines/>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b w:val="0"/>
          <w:bCs w:val="0"/>
          <w:sz w:val="28"/>
          <w:szCs w:val="240"/>
          <w:lang w:val="en-US" w:eastAsia="zh-CN"/>
        </w:rPr>
      </w:pPr>
      <w:bookmarkStart w:id="166" w:name="_Toc29063"/>
      <w:r>
        <w:rPr>
          <w:rFonts w:hint="eastAsia" w:ascii="黑体" w:hAnsi="黑体" w:eastAsia="黑体" w:cs="黑体"/>
          <w:b w:val="0"/>
          <w:bCs w:val="0"/>
          <w:sz w:val="28"/>
          <w:szCs w:val="240"/>
          <w:lang w:val="en-US" w:eastAsia="zh-CN"/>
        </w:rPr>
        <w:t>10.6 管理风险</w:t>
      </w:r>
      <w:bookmarkEnd w:id="166"/>
    </w:p>
    <w:p w14:paraId="47A0799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创业初期团队规模较小，在人力资源、管理经验、行业资源上存在一定不足，可能导致执行效率不高、流程不够规范等问题。</w:t>
      </w:r>
    </w:p>
    <w:p w14:paraId="795D65CC">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团队将建立完善的绩效考核、内部培训与协同工作机制，用制度规范管理、明确分工、提升效率。针对成员行业经验不足的问题，加强外部学习与内部培训，不断提升技术、产品、市场、运营等方面能力。</w:t>
      </w:r>
    </w:p>
    <w:p w14:paraId="1FF4C396">
      <w:pPr>
        <w:keepNext w:val="0"/>
        <w:keepLines w:val="0"/>
        <w:pageBreakBefore w:val="0"/>
        <w:widowControl w:val="0"/>
        <w:numPr>
          <w:ilvl w:val="0"/>
          <w:numId w:val="0"/>
        </w:numPr>
        <w:kinsoku/>
        <w:wordWrap/>
        <w:overflowPunct/>
        <w:topLinePunct w:val="0"/>
        <w:autoSpaceDE/>
        <w:autoSpaceDN/>
        <w:bidi w:val="0"/>
        <w:adjustRightInd/>
        <w:snapToGrid/>
        <w:ind w:leftChars="0" w:firstLine="534" w:firstLineChars="200"/>
        <w:textAlignment w:val="auto"/>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随着项目发展与融资推进，存在核心成员变动、股权分配、激励机制等潜在风险。我们将提前设计合理的股权结构与激励机制，保障核心成员利益与发展空间，增强团队稳定性与凝聚力，降低人员流失对项目造成的影响，确保项目长期稳定发展。</w:t>
      </w:r>
    </w:p>
    <w:sectPr>
      <w:pgSz w:w="11906" w:h="16838"/>
      <w:pgMar w:top="1417" w:right="1531" w:bottom="1417" w:left="1531" w:header="851" w:footer="992" w:gutter="0"/>
      <w:pgNumType w:fmt="decimal"/>
      <w:cols w:space="0" w:num="1"/>
      <w:rtlGutter w:val="0"/>
      <w:docGrid w:type="linesAndChars" w:linePitch="378" w:charSpace="57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34"/>
      </w:pPr>
      <w:r>
        <w:separator/>
      </w:r>
    </w:p>
  </w:endnote>
  <w:endnote w:type="continuationSeparator" w:id="1">
    <w:p>
      <w:pPr>
        <w:ind w:firstLine="53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简体">
    <w:altName w:val="宋体"/>
    <w:panose1 w:val="02000000000000000000"/>
    <w:charset w:val="86"/>
    <w:family w:val="roman"/>
    <w:pitch w:val="default"/>
    <w:sig w:usb0="00000000" w:usb1="00000000" w:usb2="00000012" w:usb3="00000000" w:csb0="00040001"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5DBB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FFEBB">
                          <w:pPr>
                            <w:pStyle w:val="7"/>
                            <w:keepNext w:val="0"/>
                            <w:keepLines w:val="0"/>
                            <w:pageBreakBefore w:val="0"/>
                            <w:widowControl w:val="0"/>
                            <w:kinsoku/>
                            <w:wordWrap/>
                            <w:overflowPunct/>
                            <w:topLinePunct w:val="0"/>
                            <w:bidi w:val="0"/>
                            <w:adjustRightInd/>
                            <w:snapToGrid w:val="0"/>
                            <w:ind w:firstLine="0" w:firstLineChars="0"/>
                            <w:jc w:val="center"/>
                            <w:textAlignment w:val="auto"/>
                            <w:rPr>
                              <w:rFonts w:hint="eastAsia" w:asciiTheme="minorEastAsia" w:hAnsiTheme="minorEastAsia" w:eastAsiaTheme="minorEastAsia" w:cstheme="minorEastAsia"/>
                              <w:sz w:val="24"/>
                              <w:szCs w:val="300"/>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PAGE  \* MERGEFORMAT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300"/>
                            </w:rPr>
                            <w:t>2</w:t>
                          </w:r>
                          <w:r>
                            <w:rPr>
                              <w:rFonts w:hint="eastAsia" w:asciiTheme="minorEastAsia" w:hAnsiTheme="minorEastAsia" w:eastAsiaTheme="minorEastAsia" w:cstheme="minorEastAsia"/>
                              <w:sz w:val="24"/>
                              <w:szCs w:val="3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5EFFEBB">
                    <w:pPr>
                      <w:pStyle w:val="7"/>
                      <w:keepNext w:val="0"/>
                      <w:keepLines w:val="0"/>
                      <w:pageBreakBefore w:val="0"/>
                      <w:widowControl w:val="0"/>
                      <w:kinsoku/>
                      <w:wordWrap/>
                      <w:overflowPunct/>
                      <w:topLinePunct w:val="0"/>
                      <w:bidi w:val="0"/>
                      <w:adjustRightInd/>
                      <w:snapToGrid w:val="0"/>
                      <w:ind w:firstLine="0" w:firstLineChars="0"/>
                      <w:jc w:val="center"/>
                      <w:textAlignment w:val="auto"/>
                      <w:rPr>
                        <w:rFonts w:hint="eastAsia" w:asciiTheme="minorEastAsia" w:hAnsiTheme="minorEastAsia" w:eastAsiaTheme="minorEastAsia" w:cstheme="minorEastAsia"/>
                        <w:sz w:val="24"/>
                        <w:szCs w:val="300"/>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PAGE  \* MERGEFORMAT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300"/>
                      </w:rPr>
                      <w:t>2</w:t>
                    </w:r>
                    <w:r>
                      <w:rPr>
                        <w:rFonts w:hint="eastAsia" w:asciiTheme="minorEastAsia" w:hAnsiTheme="minorEastAsia" w:eastAsiaTheme="minorEastAsia" w:cstheme="minorEastAsia"/>
                        <w:sz w:val="24"/>
                        <w:szCs w:val="30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96FF0">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5F11BA">
                          <w:pPr>
                            <w:pStyle w:val="7"/>
                            <w:keepNext w:val="0"/>
                            <w:keepLines w:val="0"/>
                            <w:pageBreakBefore w:val="0"/>
                            <w:widowControl w:val="0"/>
                            <w:kinsoku/>
                            <w:wordWrap/>
                            <w:overflowPunct/>
                            <w:topLinePunct w:val="0"/>
                            <w:bidi w:val="0"/>
                            <w:adjustRightInd/>
                            <w:snapToGrid w:val="0"/>
                            <w:ind w:firstLine="0" w:firstLineChars="0"/>
                            <w:jc w:val="center"/>
                            <w:textAlignment w:val="auto"/>
                            <w:rPr>
                              <w:rFonts w:hint="eastAsia" w:asciiTheme="minorEastAsia" w:hAnsiTheme="minorEastAsia" w:eastAsiaTheme="minorEastAsia" w:cstheme="minorEastAsia"/>
                              <w:sz w:val="24"/>
                              <w:szCs w:val="300"/>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PAGE  \* MERGEFORMAT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300"/>
                            </w:rPr>
                            <w:t>2</w:t>
                          </w:r>
                          <w:r>
                            <w:rPr>
                              <w:rFonts w:hint="eastAsia" w:asciiTheme="minorEastAsia" w:hAnsiTheme="minorEastAsia" w:eastAsiaTheme="minorEastAsia" w:cstheme="minorEastAsia"/>
                              <w:sz w:val="24"/>
                              <w:szCs w:val="3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405F11BA">
                    <w:pPr>
                      <w:pStyle w:val="7"/>
                      <w:keepNext w:val="0"/>
                      <w:keepLines w:val="0"/>
                      <w:pageBreakBefore w:val="0"/>
                      <w:widowControl w:val="0"/>
                      <w:kinsoku/>
                      <w:wordWrap/>
                      <w:overflowPunct/>
                      <w:topLinePunct w:val="0"/>
                      <w:bidi w:val="0"/>
                      <w:adjustRightInd/>
                      <w:snapToGrid w:val="0"/>
                      <w:ind w:firstLine="0" w:firstLineChars="0"/>
                      <w:jc w:val="center"/>
                      <w:textAlignment w:val="auto"/>
                      <w:rPr>
                        <w:rFonts w:hint="eastAsia" w:asciiTheme="minorEastAsia" w:hAnsiTheme="minorEastAsia" w:eastAsiaTheme="minorEastAsia" w:cstheme="minorEastAsia"/>
                        <w:sz w:val="24"/>
                        <w:szCs w:val="300"/>
                      </w:rPr>
                    </w:pPr>
                    <w:r>
                      <w:rPr>
                        <w:rFonts w:hint="eastAsia" w:asciiTheme="minorEastAsia" w:hAnsiTheme="minorEastAsia" w:eastAsiaTheme="minorEastAsia" w:cstheme="minorEastAsia"/>
                        <w:sz w:val="24"/>
                        <w:szCs w:val="300"/>
                      </w:rPr>
                      <w:fldChar w:fldCharType="begin"/>
                    </w:r>
                    <w:r>
                      <w:rPr>
                        <w:rFonts w:hint="eastAsia" w:asciiTheme="minorEastAsia" w:hAnsiTheme="minorEastAsia" w:eastAsiaTheme="minorEastAsia" w:cstheme="minorEastAsia"/>
                        <w:sz w:val="24"/>
                        <w:szCs w:val="300"/>
                      </w:rPr>
                      <w:instrText xml:space="preserve"> PAGE  \* MERGEFORMAT </w:instrText>
                    </w:r>
                    <w:r>
                      <w:rPr>
                        <w:rFonts w:hint="eastAsia" w:asciiTheme="minorEastAsia" w:hAnsiTheme="minorEastAsia" w:eastAsiaTheme="minorEastAsia" w:cstheme="minorEastAsia"/>
                        <w:sz w:val="24"/>
                        <w:szCs w:val="300"/>
                      </w:rPr>
                      <w:fldChar w:fldCharType="separate"/>
                    </w:r>
                    <w:r>
                      <w:rPr>
                        <w:rFonts w:hint="eastAsia" w:asciiTheme="minorEastAsia" w:hAnsiTheme="minorEastAsia" w:eastAsiaTheme="minorEastAsia" w:cstheme="minorEastAsia"/>
                        <w:sz w:val="24"/>
                        <w:szCs w:val="300"/>
                      </w:rPr>
                      <w:t>2</w:t>
                    </w:r>
                    <w:r>
                      <w:rPr>
                        <w:rFonts w:hint="eastAsia" w:asciiTheme="minorEastAsia" w:hAnsiTheme="minorEastAsia" w:eastAsiaTheme="minorEastAsia" w:cstheme="minorEastAsia"/>
                        <w:sz w:val="24"/>
                        <w:szCs w:val="30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34"/>
      </w:pPr>
      <w:r>
        <w:separator/>
      </w:r>
    </w:p>
  </w:footnote>
  <w:footnote w:type="continuationSeparator" w:id="1">
    <w:p>
      <w:pPr>
        <w:ind w:firstLine="53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24C15">
    <w:pPr>
      <w:pStyle w:val="8"/>
      <w:pBdr>
        <w:bottom w:val="none" w:color="auto" w:sz="0" w:space="1"/>
      </w:pBdr>
      <w:rPr>
        <w:rFonts w:hint="eastAsia" w:eastAsia="黑体"/>
        <w:lang w:eastAsia="zh-CN"/>
      </w:rPr>
    </w:pPr>
    <w:r>
      <w:rPr>
        <w:rFonts w:hint="eastAsia" w:eastAsia="黑体"/>
        <w:lang w:eastAsia="zh-CN"/>
      </w:rPr>
      <w:drawing>
        <wp:anchor distT="0" distB="0" distL="114300" distR="114300" simplePos="0" relativeHeight="251661312" behindDoc="1" locked="0" layoutInCell="1" allowOverlap="1">
          <wp:simplePos x="0" y="0"/>
          <wp:positionH relativeFrom="column">
            <wp:posOffset>-972185</wp:posOffset>
          </wp:positionH>
          <wp:positionV relativeFrom="paragraph">
            <wp:posOffset>-553085</wp:posOffset>
          </wp:positionV>
          <wp:extent cx="7560310" cy="10692130"/>
          <wp:effectExtent l="0" t="0" r="8890" b="1270"/>
          <wp:wrapNone/>
          <wp:docPr id="15" name="图片 15" descr="6449a6033659f5d0428054631b638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449a6033659f5d0428054631b638ea0"/>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55154"/>
    <w:multiLevelType w:val="singleLevel"/>
    <w:tmpl w:val="81755154"/>
    <w:lvl w:ilvl="0" w:tentative="0">
      <w:start w:val="1"/>
      <w:numFmt w:val="decimal"/>
      <w:lvlText w:val="%1."/>
      <w:lvlJc w:val="left"/>
      <w:pPr>
        <w:ind w:left="425" w:hanging="425"/>
      </w:pPr>
      <w:rPr>
        <w:rFonts w:hint="default" w:ascii="Calibri" w:hAnsi="Calibri"/>
        <w:b/>
        <w:bCs/>
      </w:rPr>
    </w:lvl>
  </w:abstractNum>
  <w:abstractNum w:abstractNumId="1">
    <w:nsid w:val="8A6C513A"/>
    <w:multiLevelType w:val="singleLevel"/>
    <w:tmpl w:val="8A6C513A"/>
    <w:lvl w:ilvl="0" w:tentative="0">
      <w:start w:val="1"/>
      <w:numFmt w:val="decimal"/>
      <w:lvlText w:val="(%1)"/>
      <w:lvlJc w:val="left"/>
      <w:pPr>
        <w:ind w:left="425" w:hanging="425"/>
      </w:pPr>
      <w:rPr>
        <w:rFonts w:hint="default" w:ascii="Calibri" w:hAnsi="Calibri"/>
        <w:b/>
        <w:bCs/>
      </w:rPr>
    </w:lvl>
  </w:abstractNum>
  <w:abstractNum w:abstractNumId="2">
    <w:nsid w:val="8CA8D4AC"/>
    <w:multiLevelType w:val="singleLevel"/>
    <w:tmpl w:val="8CA8D4AC"/>
    <w:lvl w:ilvl="0" w:tentative="0">
      <w:start w:val="1"/>
      <w:numFmt w:val="decimal"/>
      <w:lvlText w:val="(%1)"/>
      <w:lvlJc w:val="left"/>
      <w:pPr>
        <w:ind w:left="425" w:hanging="425"/>
      </w:pPr>
      <w:rPr>
        <w:rFonts w:hint="default" w:ascii="Calibri" w:hAnsi="Calibri"/>
        <w:b/>
        <w:bCs/>
      </w:rPr>
    </w:lvl>
  </w:abstractNum>
  <w:abstractNum w:abstractNumId="3">
    <w:nsid w:val="90C726AD"/>
    <w:multiLevelType w:val="singleLevel"/>
    <w:tmpl w:val="90C726AD"/>
    <w:lvl w:ilvl="0" w:tentative="0">
      <w:start w:val="1"/>
      <w:numFmt w:val="decimal"/>
      <w:lvlText w:val="%1."/>
      <w:lvlJc w:val="left"/>
      <w:pPr>
        <w:ind w:left="425" w:hanging="425"/>
      </w:pPr>
      <w:rPr>
        <w:rFonts w:hint="default" w:ascii="Calibri" w:hAnsi="Calibri"/>
        <w:b/>
        <w:bCs/>
      </w:rPr>
    </w:lvl>
  </w:abstractNum>
  <w:abstractNum w:abstractNumId="4">
    <w:nsid w:val="90C747B6"/>
    <w:multiLevelType w:val="singleLevel"/>
    <w:tmpl w:val="90C747B6"/>
    <w:lvl w:ilvl="0" w:tentative="0">
      <w:start w:val="1"/>
      <w:numFmt w:val="decimal"/>
      <w:lvlText w:val="%1."/>
      <w:lvlJc w:val="left"/>
      <w:pPr>
        <w:ind w:left="425" w:hanging="425"/>
      </w:pPr>
      <w:rPr>
        <w:rFonts w:hint="default" w:ascii="Calibri Light" w:hAnsi="Calibri Light"/>
        <w:b/>
        <w:bCs/>
      </w:rPr>
    </w:lvl>
  </w:abstractNum>
  <w:abstractNum w:abstractNumId="5">
    <w:nsid w:val="9D7393D3"/>
    <w:multiLevelType w:val="singleLevel"/>
    <w:tmpl w:val="9D7393D3"/>
    <w:lvl w:ilvl="0" w:tentative="0">
      <w:start w:val="1"/>
      <w:numFmt w:val="bullet"/>
      <w:lvlText w:val=""/>
      <w:lvlJc w:val="left"/>
      <w:pPr>
        <w:ind w:left="420" w:hanging="420"/>
      </w:pPr>
      <w:rPr>
        <w:rFonts w:hint="default" w:ascii="Wingdings" w:hAnsi="Wingdings"/>
      </w:rPr>
    </w:lvl>
  </w:abstractNum>
  <w:abstractNum w:abstractNumId="6">
    <w:nsid w:val="9E06F201"/>
    <w:multiLevelType w:val="singleLevel"/>
    <w:tmpl w:val="9E06F201"/>
    <w:lvl w:ilvl="0" w:tentative="0">
      <w:start w:val="1"/>
      <w:numFmt w:val="decimal"/>
      <w:lvlText w:val="%1."/>
      <w:lvlJc w:val="left"/>
      <w:pPr>
        <w:ind w:left="425" w:hanging="425"/>
      </w:pPr>
      <w:rPr>
        <w:rFonts w:hint="default" w:ascii="Calibri" w:hAnsi="Calibri"/>
        <w:b/>
        <w:bCs/>
      </w:rPr>
    </w:lvl>
  </w:abstractNum>
  <w:abstractNum w:abstractNumId="7">
    <w:nsid w:val="9F5186D1"/>
    <w:multiLevelType w:val="singleLevel"/>
    <w:tmpl w:val="9F5186D1"/>
    <w:lvl w:ilvl="0" w:tentative="0">
      <w:start w:val="1"/>
      <w:numFmt w:val="decimal"/>
      <w:lvlText w:val="(%1)"/>
      <w:lvlJc w:val="left"/>
      <w:pPr>
        <w:ind w:left="425" w:hanging="425"/>
      </w:pPr>
      <w:rPr>
        <w:rFonts w:hint="default" w:ascii="Calibri" w:hAnsi="Calibri"/>
        <w:b/>
        <w:bCs/>
      </w:rPr>
    </w:lvl>
  </w:abstractNum>
  <w:abstractNum w:abstractNumId="8">
    <w:nsid w:val="A55D6129"/>
    <w:multiLevelType w:val="singleLevel"/>
    <w:tmpl w:val="A55D6129"/>
    <w:lvl w:ilvl="0" w:tentative="0">
      <w:start w:val="1"/>
      <w:numFmt w:val="bullet"/>
      <w:lvlText w:val=""/>
      <w:lvlJc w:val="left"/>
      <w:pPr>
        <w:ind w:left="420" w:hanging="420"/>
      </w:pPr>
      <w:rPr>
        <w:rFonts w:hint="default" w:ascii="Wingdings" w:hAnsi="Wingdings"/>
      </w:rPr>
    </w:lvl>
  </w:abstractNum>
  <w:abstractNum w:abstractNumId="9">
    <w:nsid w:val="A8A6EC1B"/>
    <w:multiLevelType w:val="singleLevel"/>
    <w:tmpl w:val="A8A6EC1B"/>
    <w:lvl w:ilvl="0" w:tentative="0">
      <w:start w:val="1"/>
      <w:numFmt w:val="decimal"/>
      <w:lvlText w:val="%1."/>
      <w:lvlJc w:val="left"/>
      <w:pPr>
        <w:ind w:left="425" w:hanging="425"/>
      </w:pPr>
      <w:rPr>
        <w:rFonts w:hint="default" w:ascii="Calibri" w:hAnsi="Calibri"/>
        <w:b/>
        <w:bCs/>
      </w:rPr>
    </w:lvl>
  </w:abstractNum>
  <w:abstractNum w:abstractNumId="10">
    <w:nsid w:val="ADB46463"/>
    <w:multiLevelType w:val="singleLevel"/>
    <w:tmpl w:val="ADB46463"/>
    <w:lvl w:ilvl="0" w:tentative="0">
      <w:start w:val="1"/>
      <w:numFmt w:val="decimal"/>
      <w:lvlText w:val="%1."/>
      <w:lvlJc w:val="left"/>
      <w:pPr>
        <w:ind w:left="425" w:hanging="425"/>
      </w:pPr>
      <w:rPr>
        <w:rFonts w:hint="default" w:ascii="Calibri" w:hAnsi="Calibri"/>
        <w:b/>
        <w:bCs/>
      </w:rPr>
    </w:lvl>
  </w:abstractNum>
  <w:abstractNum w:abstractNumId="11">
    <w:nsid w:val="D70D78F0"/>
    <w:multiLevelType w:val="singleLevel"/>
    <w:tmpl w:val="D70D78F0"/>
    <w:lvl w:ilvl="0" w:tentative="0">
      <w:start w:val="1"/>
      <w:numFmt w:val="decimal"/>
      <w:lvlText w:val="%1."/>
      <w:lvlJc w:val="left"/>
      <w:pPr>
        <w:ind w:left="425" w:hanging="425"/>
      </w:pPr>
      <w:rPr>
        <w:rFonts w:hint="default" w:ascii="Calibri" w:hAnsi="Calibri"/>
        <w:b/>
        <w:bCs/>
      </w:rPr>
    </w:lvl>
  </w:abstractNum>
  <w:abstractNum w:abstractNumId="12">
    <w:nsid w:val="E0BFD7AA"/>
    <w:multiLevelType w:val="singleLevel"/>
    <w:tmpl w:val="E0BFD7AA"/>
    <w:lvl w:ilvl="0" w:tentative="0">
      <w:start w:val="1"/>
      <w:numFmt w:val="decimal"/>
      <w:lvlText w:val="%1."/>
      <w:lvlJc w:val="left"/>
      <w:pPr>
        <w:ind w:left="425" w:hanging="425"/>
      </w:pPr>
      <w:rPr>
        <w:rFonts w:hint="default" w:ascii="Calibri" w:hAnsi="Calibri"/>
        <w:b/>
        <w:bCs/>
      </w:rPr>
    </w:lvl>
  </w:abstractNum>
  <w:abstractNum w:abstractNumId="13">
    <w:nsid w:val="EE111C64"/>
    <w:multiLevelType w:val="singleLevel"/>
    <w:tmpl w:val="EE111C64"/>
    <w:lvl w:ilvl="0" w:tentative="0">
      <w:start w:val="1"/>
      <w:numFmt w:val="bullet"/>
      <w:lvlText w:val=""/>
      <w:lvlJc w:val="left"/>
      <w:pPr>
        <w:ind w:left="420" w:hanging="420"/>
      </w:pPr>
      <w:rPr>
        <w:rFonts w:hint="default" w:ascii="Wingdings" w:hAnsi="Wingdings"/>
      </w:rPr>
    </w:lvl>
  </w:abstractNum>
  <w:abstractNum w:abstractNumId="14">
    <w:nsid w:val="F6118D96"/>
    <w:multiLevelType w:val="singleLevel"/>
    <w:tmpl w:val="F6118D96"/>
    <w:lvl w:ilvl="0" w:tentative="0">
      <w:start w:val="1"/>
      <w:numFmt w:val="decimal"/>
      <w:lvlText w:val="%1."/>
      <w:lvlJc w:val="left"/>
      <w:pPr>
        <w:ind w:left="425" w:hanging="425"/>
      </w:pPr>
      <w:rPr>
        <w:rFonts w:hint="default" w:ascii="Calibri" w:hAnsi="Calibri"/>
        <w:b/>
        <w:bCs/>
      </w:rPr>
    </w:lvl>
  </w:abstractNum>
  <w:abstractNum w:abstractNumId="15">
    <w:nsid w:val="F6C9D714"/>
    <w:multiLevelType w:val="singleLevel"/>
    <w:tmpl w:val="F6C9D714"/>
    <w:lvl w:ilvl="0" w:tentative="0">
      <w:start w:val="1"/>
      <w:numFmt w:val="decimal"/>
      <w:lvlText w:val="%1."/>
      <w:lvlJc w:val="left"/>
      <w:pPr>
        <w:ind w:left="425" w:hanging="425"/>
      </w:pPr>
      <w:rPr>
        <w:rFonts w:hint="default" w:ascii="Calibri" w:hAnsi="Calibri"/>
        <w:b/>
        <w:bCs/>
      </w:rPr>
    </w:lvl>
  </w:abstractNum>
  <w:abstractNum w:abstractNumId="16">
    <w:nsid w:val="FC2F0099"/>
    <w:multiLevelType w:val="singleLevel"/>
    <w:tmpl w:val="FC2F0099"/>
    <w:lvl w:ilvl="0" w:tentative="0">
      <w:start w:val="1"/>
      <w:numFmt w:val="decimal"/>
      <w:lvlText w:val="(%1)"/>
      <w:lvlJc w:val="left"/>
      <w:pPr>
        <w:ind w:left="425" w:hanging="425"/>
      </w:pPr>
      <w:rPr>
        <w:rFonts w:hint="default" w:ascii="Calibri" w:hAnsi="Calibri"/>
        <w:b/>
        <w:bCs/>
      </w:rPr>
    </w:lvl>
  </w:abstractNum>
  <w:abstractNum w:abstractNumId="17">
    <w:nsid w:val="FE0AC4F9"/>
    <w:multiLevelType w:val="singleLevel"/>
    <w:tmpl w:val="FE0AC4F9"/>
    <w:lvl w:ilvl="0" w:tentative="0">
      <w:start w:val="1"/>
      <w:numFmt w:val="decimal"/>
      <w:lvlText w:val="%1."/>
      <w:lvlJc w:val="left"/>
      <w:pPr>
        <w:ind w:left="425" w:hanging="425"/>
      </w:pPr>
      <w:rPr>
        <w:rFonts w:hint="default" w:ascii="Calibri" w:hAnsi="Calibri"/>
        <w:b/>
        <w:bCs/>
      </w:rPr>
    </w:lvl>
  </w:abstractNum>
  <w:abstractNum w:abstractNumId="18">
    <w:nsid w:val="04FFE2E3"/>
    <w:multiLevelType w:val="singleLevel"/>
    <w:tmpl w:val="04FFE2E3"/>
    <w:lvl w:ilvl="0" w:tentative="0">
      <w:start w:val="1"/>
      <w:numFmt w:val="bullet"/>
      <w:lvlText w:val=""/>
      <w:lvlJc w:val="left"/>
      <w:pPr>
        <w:ind w:left="420" w:hanging="420"/>
      </w:pPr>
      <w:rPr>
        <w:rFonts w:hint="default" w:ascii="Wingdings" w:hAnsi="Wingdings"/>
      </w:rPr>
    </w:lvl>
  </w:abstractNum>
  <w:abstractNum w:abstractNumId="19">
    <w:nsid w:val="0537AEB2"/>
    <w:multiLevelType w:val="singleLevel"/>
    <w:tmpl w:val="0537AEB2"/>
    <w:lvl w:ilvl="0" w:tentative="0">
      <w:start w:val="1"/>
      <w:numFmt w:val="bullet"/>
      <w:lvlText w:val=""/>
      <w:lvlJc w:val="left"/>
      <w:pPr>
        <w:ind w:left="420" w:hanging="420"/>
      </w:pPr>
      <w:rPr>
        <w:rFonts w:hint="default" w:ascii="Wingdings" w:hAnsi="Wingdings"/>
      </w:rPr>
    </w:lvl>
  </w:abstractNum>
  <w:abstractNum w:abstractNumId="20">
    <w:nsid w:val="0B9558C0"/>
    <w:multiLevelType w:val="singleLevel"/>
    <w:tmpl w:val="0B9558C0"/>
    <w:lvl w:ilvl="0" w:tentative="0">
      <w:start w:val="1"/>
      <w:numFmt w:val="bullet"/>
      <w:lvlText w:val=""/>
      <w:lvlJc w:val="left"/>
      <w:pPr>
        <w:ind w:left="420" w:hanging="420"/>
      </w:pPr>
      <w:rPr>
        <w:rFonts w:hint="default" w:ascii="Wingdings" w:hAnsi="Wingdings"/>
      </w:rPr>
    </w:lvl>
  </w:abstractNum>
  <w:abstractNum w:abstractNumId="21">
    <w:nsid w:val="1A004D3D"/>
    <w:multiLevelType w:val="singleLevel"/>
    <w:tmpl w:val="1A004D3D"/>
    <w:lvl w:ilvl="0" w:tentative="0">
      <w:start w:val="1"/>
      <w:numFmt w:val="bullet"/>
      <w:lvlText w:val=""/>
      <w:lvlJc w:val="left"/>
      <w:pPr>
        <w:ind w:left="420" w:hanging="420"/>
      </w:pPr>
      <w:rPr>
        <w:rFonts w:hint="default" w:ascii="Wingdings" w:hAnsi="Wingdings"/>
      </w:rPr>
    </w:lvl>
  </w:abstractNum>
  <w:abstractNum w:abstractNumId="22">
    <w:nsid w:val="201035E8"/>
    <w:multiLevelType w:val="singleLevel"/>
    <w:tmpl w:val="201035E8"/>
    <w:lvl w:ilvl="0" w:tentative="0">
      <w:start w:val="1"/>
      <w:numFmt w:val="decimal"/>
      <w:lvlText w:val="%1."/>
      <w:lvlJc w:val="left"/>
      <w:pPr>
        <w:ind w:left="425" w:hanging="425"/>
      </w:pPr>
      <w:rPr>
        <w:rFonts w:hint="default" w:asciiTheme="minorAscii" w:hAnsiTheme="minorAscii"/>
      </w:rPr>
    </w:lvl>
  </w:abstractNum>
  <w:abstractNum w:abstractNumId="23">
    <w:nsid w:val="214251F9"/>
    <w:multiLevelType w:val="singleLevel"/>
    <w:tmpl w:val="214251F9"/>
    <w:lvl w:ilvl="0" w:tentative="0">
      <w:start w:val="1"/>
      <w:numFmt w:val="decimal"/>
      <w:lvlText w:val="%1."/>
      <w:lvlJc w:val="left"/>
      <w:pPr>
        <w:ind w:left="425" w:hanging="425"/>
      </w:pPr>
      <w:rPr>
        <w:rFonts w:hint="default" w:ascii="Calibri" w:hAnsi="Calibri"/>
        <w:b/>
        <w:bCs/>
      </w:rPr>
    </w:lvl>
  </w:abstractNum>
  <w:abstractNum w:abstractNumId="24">
    <w:nsid w:val="270EFCD9"/>
    <w:multiLevelType w:val="singleLevel"/>
    <w:tmpl w:val="270EFCD9"/>
    <w:lvl w:ilvl="0" w:tentative="0">
      <w:start w:val="1"/>
      <w:numFmt w:val="bullet"/>
      <w:lvlText w:val=""/>
      <w:lvlJc w:val="left"/>
      <w:pPr>
        <w:ind w:left="420" w:hanging="420"/>
      </w:pPr>
      <w:rPr>
        <w:rFonts w:hint="default" w:ascii="Wingdings" w:hAnsi="Wingdings"/>
      </w:rPr>
    </w:lvl>
  </w:abstractNum>
  <w:abstractNum w:abstractNumId="25">
    <w:nsid w:val="3378206A"/>
    <w:multiLevelType w:val="singleLevel"/>
    <w:tmpl w:val="3378206A"/>
    <w:lvl w:ilvl="0" w:tentative="0">
      <w:start w:val="1"/>
      <w:numFmt w:val="decimal"/>
      <w:lvlText w:val="%1."/>
      <w:lvlJc w:val="left"/>
      <w:pPr>
        <w:ind w:left="425" w:hanging="425"/>
      </w:pPr>
      <w:rPr>
        <w:rFonts w:hint="default" w:asciiTheme="minorAscii" w:hAnsiTheme="minorAscii"/>
      </w:rPr>
    </w:lvl>
  </w:abstractNum>
  <w:abstractNum w:abstractNumId="26">
    <w:nsid w:val="359BAF7E"/>
    <w:multiLevelType w:val="singleLevel"/>
    <w:tmpl w:val="359BAF7E"/>
    <w:lvl w:ilvl="0" w:tentative="0">
      <w:start w:val="1"/>
      <w:numFmt w:val="bullet"/>
      <w:lvlText w:val=""/>
      <w:lvlJc w:val="left"/>
      <w:pPr>
        <w:ind w:left="420" w:hanging="420"/>
      </w:pPr>
      <w:rPr>
        <w:rFonts w:hint="default" w:ascii="Wingdings" w:hAnsi="Wingdings"/>
      </w:rPr>
    </w:lvl>
  </w:abstractNum>
  <w:abstractNum w:abstractNumId="27">
    <w:nsid w:val="38648300"/>
    <w:multiLevelType w:val="singleLevel"/>
    <w:tmpl w:val="38648300"/>
    <w:lvl w:ilvl="0" w:tentative="0">
      <w:start w:val="1"/>
      <w:numFmt w:val="decimal"/>
      <w:lvlText w:val="%1."/>
      <w:lvlJc w:val="left"/>
      <w:pPr>
        <w:ind w:left="425" w:hanging="425"/>
      </w:pPr>
      <w:rPr>
        <w:rFonts w:hint="default" w:ascii="Calibri" w:hAnsi="Calibri"/>
        <w:b/>
        <w:bCs/>
      </w:rPr>
    </w:lvl>
  </w:abstractNum>
  <w:abstractNum w:abstractNumId="28">
    <w:nsid w:val="41044D23"/>
    <w:multiLevelType w:val="singleLevel"/>
    <w:tmpl w:val="41044D23"/>
    <w:lvl w:ilvl="0" w:tentative="0">
      <w:start w:val="1"/>
      <w:numFmt w:val="decimal"/>
      <w:lvlText w:val="(%1)"/>
      <w:lvlJc w:val="left"/>
      <w:pPr>
        <w:ind w:left="425" w:hanging="425"/>
      </w:pPr>
      <w:rPr>
        <w:rFonts w:hint="default" w:ascii="Calibri" w:hAnsi="Calibri"/>
        <w:b/>
        <w:bCs/>
      </w:rPr>
    </w:lvl>
  </w:abstractNum>
  <w:abstractNum w:abstractNumId="29">
    <w:nsid w:val="48A3147E"/>
    <w:multiLevelType w:val="singleLevel"/>
    <w:tmpl w:val="48A3147E"/>
    <w:lvl w:ilvl="0" w:tentative="0">
      <w:start w:val="1"/>
      <w:numFmt w:val="decimal"/>
      <w:lvlText w:val="(%1)"/>
      <w:lvlJc w:val="left"/>
      <w:pPr>
        <w:ind w:left="425" w:hanging="425"/>
      </w:pPr>
      <w:rPr>
        <w:rFonts w:hint="default" w:ascii="Calibri" w:hAnsi="Calibri"/>
        <w:b/>
        <w:bCs/>
      </w:rPr>
    </w:lvl>
  </w:abstractNum>
  <w:abstractNum w:abstractNumId="30">
    <w:nsid w:val="540D8B6F"/>
    <w:multiLevelType w:val="singleLevel"/>
    <w:tmpl w:val="540D8B6F"/>
    <w:lvl w:ilvl="0" w:tentative="0">
      <w:start w:val="1"/>
      <w:numFmt w:val="decimal"/>
      <w:lvlText w:val="%1."/>
      <w:lvlJc w:val="left"/>
      <w:pPr>
        <w:ind w:left="425" w:hanging="425"/>
      </w:pPr>
      <w:rPr>
        <w:rFonts w:hint="default" w:ascii="Calibri" w:hAnsi="Calibri"/>
        <w:b/>
        <w:bCs/>
      </w:rPr>
    </w:lvl>
  </w:abstractNum>
  <w:abstractNum w:abstractNumId="31">
    <w:nsid w:val="5413FEC4"/>
    <w:multiLevelType w:val="singleLevel"/>
    <w:tmpl w:val="5413FEC4"/>
    <w:lvl w:ilvl="0" w:tentative="0">
      <w:start w:val="1"/>
      <w:numFmt w:val="decimal"/>
      <w:lvlText w:val="(%1)"/>
      <w:lvlJc w:val="left"/>
      <w:pPr>
        <w:ind w:left="425" w:hanging="425"/>
      </w:pPr>
      <w:rPr>
        <w:rFonts w:hint="default" w:ascii="Calibri" w:hAnsi="Calibri"/>
        <w:b/>
        <w:bCs/>
      </w:rPr>
    </w:lvl>
  </w:abstractNum>
  <w:abstractNum w:abstractNumId="32">
    <w:nsid w:val="5B2397F6"/>
    <w:multiLevelType w:val="singleLevel"/>
    <w:tmpl w:val="5B2397F6"/>
    <w:lvl w:ilvl="0" w:tentative="0">
      <w:start w:val="1"/>
      <w:numFmt w:val="decimal"/>
      <w:lvlText w:val="%1."/>
      <w:lvlJc w:val="left"/>
      <w:pPr>
        <w:ind w:left="425" w:hanging="425"/>
      </w:pPr>
      <w:rPr>
        <w:rFonts w:hint="default" w:ascii="Calibri" w:hAnsi="Calibri"/>
        <w:b/>
        <w:bCs/>
      </w:rPr>
    </w:lvl>
  </w:abstractNum>
  <w:abstractNum w:abstractNumId="33">
    <w:nsid w:val="5EC29D22"/>
    <w:multiLevelType w:val="singleLevel"/>
    <w:tmpl w:val="5EC29D22"/>
    <w:lvl w:ilvl="0" w:tentative="0">
      <w:start w:val="1"/>
      <w:numFmt w:val="decimal"/>
      <w:lvlText w:val="(%1)"/>
      <w:lvlJc w:val="left"/>
      <w:pPr>
        <w:ind w:left="425" w:hanging="425"/>
      </w:pPr>
      <w:rPr>
        <w:rFonts w:hint="default" w:ascii="Calibri" w:hAnsi="Calibri"/>
        <w:b/>
        <w:bCs/>
      </w:rPr>
    </w:lvl>
  </w:abstractNum>
  <w:abstractNum w:abstractNumId="34">
    <w:nsid w:val="5FEBDA89"/>
    <w:multiLevelType w:val="singleLevel"/>
    <w:tmpl w:val="5FEBDA89"/>
    <w:lvl w:ilvl="0" w:tentative="0">
      <w:start w:val="1"/>
      <w:numFmt w:val="bullet"/>
      <w:lvlText w:val=""/>
      <w:lvlJc w:val="left"/>
      <w:pPr>
        <w:ind w:left="420" w:hanging="420"/>
      </w:pPr>
      <w:rPr>
        <w:rFonts w:hint="default" w:ascii="Wingdings" w:hAnsi="Wingdings"/>
      </w:rPr>
    </w:lvl>
  </w:abstractNum>
  <w:abstractNum w:abstractNumId="35">
    <w:nsid w:val="6B3A9B94"/>
    <w:multiLevelType w:val="singleLevel"/>
    <w:tmpl w:val="6B3A9B94"/>
    <w:lvl w:ilvl="0" w:tentative="0">
      <w:start w:val="1"/>
      <w:numFmt w:val="decimal"/>
      <w:lvlText w:val="%1."/>
      <w:lvlJc w:val="left"/>
      <w:pPr>
        <w:ind w:left="425" w:hanging="425"/>
      </w:pPr>
      <w:rPr>
        <w:rFonts w:hint="default" w:asciiTheme="minorAscii" w:hAnsiTheme="minorAscii"/>
      </w:rPr>
    </w:lvl>
  </w:abstractNum>
  <w:abstractNum w:abstractNumId="36">
    <w:nsid w:val="798A0B13"/>
    <w:multiLevelType w:val="singleLevel"/>
    <w:tmpl w:val="798A0B13"/>
    <w:lvl w:ilvl="0" w:tentative="0">
      <w:start w:val="1"/>
      <w:numFmt w:val="bullet"/>
      <w:lvlText w:val=""/>
      <w:lvlJc w:val="left"/>
      <w:pPr>
        <w:ind w:left="420" w:hanging="420"/>
      </w:pPr>
      <w:rPr>
        <w:rFonts w:hint="default" w:ascii="Wingdings" w:hAnsi="Wingdings"/>
      </w:rPr>
    </w:lvl>
  </w:abstractNum>
  <w:abstractNum w:abstractNumId="37">
    <w:nsid w:val="7DC6297D"/>
    <w:multiLevelType w:val="singleLevel"/>
    <w:tmpl w:val="7DC6297D"/>
    <w:lvl w:ilvl="0" w:tentative="0">
      <w:start w:val="1"/>
      <w:numFmt w:val="decimal"/>
      <w:lvlText w:val="(%1)"/>
      <w:lvlJc w:val="left"/>
      <w:pPr>
        <w:ind w:left="425" w:hanging="425"/>
      </w:pPr>
      <w:rPr>
        <w:rFonts w:hint="default" w:ascii="Calibri" w:hAnsi="Calibri"/>
        <w:b/>
        <w:bCs/>
      </w:rPr>
    </w:lvl>
  </w:abstractNum>
  <w:num w:numId="1">
    <w:abstractNumId w:val="11"/>
  </w:num>
  <w:num w:numId="2">
    <w:abstractNumId w:val="30"/>
  </w:num>
  <w:num w:numId="3">
    <w:abstractNumId w:val="9"/>
  </w:num>
  <w:num w:numId="4">
    <w:abstractNumId w:val="19"/>
  </w:num>
  <w:num w:numId="5">
    <w:abstractNumId w:val="3"/>
  </w:num>
  <w:num w:numId="6">
    <w:abstractNumId w:val="35"/>
  </w:num>
  <w:num w:numId="7">
    <w:abstractNumId w:val="22"/>
  </w:num>
  <w:num w:numId="8">
    <w:abstractNumId w:val="25"/>
  </w:num>
  <w:num w:numId="9">
    <w:abstractNumId w:val="20"/>
  </w:num>
  <w:num w:numId="10">
    <w:abstractNumId w:val="24"/>
  </w:num>
  <w:num w:numId="11">
    <w:abstractNumId w:val="26"/>
  </w:num>
  <w:num w:numId="12">
    <w:abstractNumId w:val="0"/>
  </w:num>
  <w:num w:numId="13">
    <w:abstractNumId w:val="1"/>
  </w:num>
  <w:num w:numId="14">
    <w:abstractNumId w:val="29"/>
  </w:num>
  <w:num w:numId="15">
    <w:abstractNumId w:val="12"/>
  </w:num>
  <w:num w:numId="16">
    <w:abstractNumId w:val="16"/>
  </w:num>
  <w:num w:numId="17">
    <w:abstractNumId w:val="32"/>
  </w:num>
  <w:num w:numId="18">
    <w:abstractNumId w:val="13"/>
  </w:num>
  <w:num w:numId="19">
    <w:abstractNumId w:val="34"/>
  </w:num>
  <w:num w:numId="20">
    <w:abstractNumId w:val="15"/>
  </w:num>
  <w:num w:numId="21">
    <w:abstractNumId w:val="2"/>
  </w:num>
  <w:num w:numId="22">
    <w:abstractNumId w:val="28"/>
  </w:num>
  <w:num w:numId="23">
    <w:abstractNumId w:val="33"/>
  </w:num>
  <w:num w:numId="24">
    <w:abstractNumId w:val="14"/>
  </w:num>
  <w:num w:numId="25">
    <w:abstractNumId w:val="7"/>
  </w:num>
  <w:num w:numId="26">
    <w:abstractNumId w:val="37"/>
  </w:num>
  <w:num w:numId="27">
    <w:abstractNumId w:val="5"/>
  </w:num>
  <w:num w:numId="28">
    <w:abstractNumId w:val="21"/>
  </w:num>
  <w:num w:numId="29">
    <w:abstractNumId w:val="31"/>
  </w:num>
  <w:num w:numId="30">
    <w:abstractNumId w:val="8"/>
  </w:num>
  <w:num w:numId="31">
    <w:abstractNumId w:val="27"/>
  </w:num>
  <w:num w:numId="32">
    <w:abstractNumId w:val="36"/>
  </w:num>
  <w:num w:numId="33">
    <w:abstractNumId w:val="10"/>
  </w:num>
  <w:num w:numId="34">
    <w:abstractNumId w:val="6"/>
  </w:num>
  <w:num w:numId="35">
    <w:abstractNumId w:val="17"/>
  </w:num>
  <w:num w:numId="36">
    <w:abstractNumId w:val="18"/>
  </w:num>
  <w:num w:numId="37">
    <w:abstractNumId w:val="4"/>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HorizontalSpacing w:val="134"/>
  <w:drawingGridVerticalSpacing w:val="189"/>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B4701"/>
    <w:rsid w:val="0D9F44AC"/>
    <w:rsid w:val="0E9037CC"/>
    <w:rsid w:val="0ED168E7"/>
    <w:rsid w:val="12224FE4"/>
    <w:rsid w:val="13FD3771"/>
    <w:rsid w:val="18B00732"/>
    <w:rsid w:val="1E1F1B54"/>
    <w:rsid w:val="21355D04"/>
    <w:rsid w:val="25E013CA"/>
    <w:rsid w:val="27C41EC5"/>
    <w:rsid w:val="2CED40D9"/>
    <w:rsid w:val="2FF87757"/>
    <w:rsid w:val="32C57C62"/>
    <w:rsid w:val="33855537"/>
    <w:rsid w:val="34D620B3"/>
    <w:rsid w:val="35792FB0"/>
    <w:rsid w:val="3D936CFD"/>
    <w:rsid w:val="3E50768A"/>
    <w:rsid w:val="47480649"/>
    <w:rsid w:val="496E6505"/>
    <w:rsid w:val="4B0528BB"/>
    <w:rsid w:val="4D161ADD"/>
    <w:rsid w:val="4F3501F1"/>
    <w:rsid w:val="4FD73056"/>
    <w:rsid w:val="51A0391C"/>
    <w:rsid w:val="5B7040DA"/>
    <w:rsid w:val="63200B43"/>
    <w:rsid w:val="63EB149C"/>
    <w:rsid w:val="67154280"/>
    <w:rsid w:val="69A450DF"/>
    <w:rsid w:val="6F451933"/>
    <w:rsid w:val="70D32F6E"/>
    <w:rsid w:val="70F11398"/>
    <w:rsid w:val="74F3598D"/>
    <w:rsid w:val="76645648"/>
    <w:rsid w:val="77F32708"/>
    <w:rsid w:val="7AC83418"/>
    <w:rsid w:val="7CC974B5"/>
  </w:rsids>
  <m:mathPr>
    <m:mathFont m:val="Cambria Math"/>
    <m:brkBin m:val="before"/>
    <m:brkBinSub m:val="--"/>
    <m:smallFrac m:val="0"/>
    <m:dispDef/>
    <m:lMargin m:val="0"/>
    <m:rMargin m:val="0"/>
    <m:defJc m:val="center"/>
    <m:wrapIndent m:val="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34" w:firstLineChars="200"/>
      <w:jc w:val="both"/>
    </w:pPr>
    <w:rPr>
      <w:rFonts w:eastAsia="宋体" w:asciiTheme="minorAscii" w:hAnsiTheme="minorAscii" w:cstheme="minorBidi"/>
      <w:kern w:val="24"/>
      <w:sz w:val="24"/>
      <w:szCs w:val="220"/>
      <w:lang w:val="en-US" w:eastAsia="zh-CN" w:bidi="ar-SA"/>
    </w:rPr>
  </w:style>
  <w:style w:type="paragraph" w:styleId="2">
    <w:name w:val="heading 1"/>
    <w:basedOn w:val="1"/>
    <w:next w:val="1"/>
    <w:qFormat/>
    <w:uiPriority w:val="0"/>
    <w:pPr>
      <w:spacing w:before="120" w:beforeAutospacing="0" w:after="120" w:afterAutospacing="0"/>
      <w:ind w:firstLine="0" w:firstLineChars="0"/>
      <w:jc w:val="left"/>
      <w:outlineLvl w:val="0"/>
    </w:pPr>
    <w:rPr>
      <w:rFonts w:hint="eastAsia" w:ascii="宋体" w:hAnsi="宋体" w:eastAsia="黑体" w:cs="宋体"/>
      <w:b/>
      <w:bCs/>
      <w:kern w:val="44"/>
      <w:sz w:val="32"/>
      <w:szCs w:val="48"/>
      <w:lang w:bidi="ar"/>
    </w:rPr>
  </w:style>
  <w:style w:type="paragraph" w:styleId="3">
    <w:name w:val="heading 2"/>
    <w:basedOn w:val="1"/>
    <w:next w:val="1"/>
    <w:unhideWhenUsed/>
    <w:qFormat/>
    <w:uiPriority w:val="0"/>
    <w:pPr>
      <w:keepNext/>
      <w:keepLines/>
      <w:spacing w:before="60" w:after="60"/>
      <w:ind w:firstLine="562" w:firstLineChars="200"/>
      <w:outlineLvl w:val="1"/>
    </w:pPr>
    <w:rPr>
      <w:rFonts w:ascii="方正楷体简体" w:hAnsi="方正楷体简体" w:eastAsia="黑体" w:cs="方正楷体简体"/>
      <w:b/>
      <w:bCs/>
    </w:rPr>
  </w:style>
  <w:style w:type="paragraph" w:styleId="4">
    <w:name w:val="heading 3"/>
    <w:basedOn w:val="1"/>
    <w:next w:val="1"/>
    <w:unhideWhenUsed/>
    <w:qFormat/>
    <w:uiPriority w:val="0"/>
    <w:pPr>
      <w:keepNext/>
      <w:keepLines/>
      <w:spacing w:before="60" w:beforeLines="0" w:beforeAutospacing="0" w:after="60" w:afterLines="0" w:afterAutospacing="0" w:line="240" w:lineRule="auto"/>
      <w:ind w:firstLine="0" w:firstLineChars="0"/>
      <w:outlineLvl w:val="2"/>
    </w:pPr>
    <w:rPr>
      <w:rFonts w:eastAsia="黑体" w:asciiTheme="minorAscii" w:hAnsiTheme="minorAscii"/>
      <w:sz w:val="28"/>
      <w:szCs w:val="22"/>
      <w14:ligatures w14:val="standardContextual"/>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60" w:after="60" w:line="240" w:lineRule="auto"/>
      <w:ind w:firstLine="0" w:firstLineChars="0"/>
      <w:jc w:val="center"/>
    </w:pPr>
    <w:rPr>
      <w:rFonts w:ascii="Arial" w:hAnsi="Arial" w:eastAsia="黑体"/>
      <w:sz w:val="21"/>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spacing w:line="240" w:lineRule="auto"/>
      <w:jc w:val="center"/>
      <w:outlineLvl w:val="9"/>
    </w:pPr>
    <w:rPr>
      <w:rFonts w:eastAsia="黑体" w:asciiTheme="minorAscii" w:hAnsiTheme="minorAscii"/>
      <w:sz w:val="28"/>
    </w:rPr>
  </w:style>
  <w:style w:type="paragraph" w:styleId="9">
    <w:name w:val="toc 1"/>
    <w:basedOn w:val="1"/>
    <w:next w:val="1"/>
    <w:qFormat/>
    <w:uiPriority w:val="0"/>
  </w:style>
  <w:style w:type="paragraph" w:styleId="10">
    <w:name w:val="table of figures"/>
    <w:basedOn w:val="1"/>
    <w:next w:val="1"/>
    <w:qFormat/>
    <w:uiPriority w:val="0"/>
    <w:pPr>
      <w:ind w:leftChars="200" w:hanging="200" w:hangingChars="200"/>
    </w:pPr>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片标题"/>
    <w:basedOn w:val="1"/>
    <w:qFormat/>
    <w:uiPriority w:val="0"/>
    <w:pPr>
      <w:spacing w:before="60" w:after="60"/>
      <w:ind w:firstLine="0" w:firstLineChars="0"/>
      <w:jc w:val="center"/>
    </w:pPr>
    <w:rPr>
      <w:rFonts w:hint="default" w:eastAsia="黑体"/>
      <w:b/>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chart" Target="charts/chart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[工作簿1]Sheet1!$A$2</c:f>
              <c:strCache>
                <c:ptCount val="1"/>
                <c:pt idx="0">
                  <c:v>2024年9月末</c:v>
                </c:pt>
              </c:strCache>
            </c:strRef>
          </c:tx>
          <c:spPr>
            <a:solidFill>
              <a:schemeClr val="accent1"/>
            </a:solidFill>
            <a:ln>
              <a:noFill/>
            </a:ln>
            <a:effectLst/>
          </c:spPr>
          <c:invertIfNegative val="0"/>
          <c:dLbls>
            <c:delete val="1"/>
          </c:dLbls>
          <c:cat>
            <c:strRef>
              <c:f>[工作簿1]Sheet1!$B$1:$C$1</c:f>
              <c:strCache>
                <c:ptCount val="2"/>
                <c:pt idx="0">
                  <c:v>绿色贷款余额（万亿元）</c:v>
                </c:pt>
                <c:pt idx="1">
                  <c:v>同比增速（%）</c:v>
                </c:pt>
              </c:strCache>
            </c:strRef>
          </c:cat>
          <c:val>
            <c:numRef>
              <c:f>[工作簿1]Sheet1!$B$2:$C$2</c:f>
              <c:numCache>
                <c:formatCode>General</c:formatCode>
                <c:ptCount val="2"/>
                <c:pt idx="0">
                  <c:v>37.02</c:v>
                </c:pt>
                <c:pt idx="1">
                  <c:v>14.4</c:v>
                </c:pt>
              </c:numCache>
            </c:numRef>
          </c:val>
        </c:ser>
        <c:ser>
          <c:idx val="1"/>
          <c:order val="1"/>
          <c:tx>
            <c:strRef>
              <c:f>[工作簿1]Sheet1!$A$3</c:f>
              <c:strCache>
                <c:ptCount val="1"/>
                <c:pt idx="0">
                  <c:v>2025年9月末</c:v>
                </c:pt>
              </c:strCache>
            </c:strRef>
          </c:tx>
          <c:spPr>
            <a:solidFill>
              <a:schemeClr val="accent2"/>
            </a:solidFill>
            <a:ln>
              <a:noFill/>
            </a:ln>
            <a:effectLst/>
          </c:spPr>
          <c:invertIfNegative val="0"/>
          <c:dLbls>
            <c:delete val="1"/>
          </c:dLbls>
          <c:cat>
            <c:strRef>
              <c:f>[工作簿1]Sheet1!$B$1:$C$1</c:f>
              <c:strCache>
                <c:ptCount val="2"/>
                <c:pt idx="0">
                  <c:v>绿色贷款余额（万亿元）</c:v>
                </c:pt>
                <c:pt idx="1">
                  <c:v>同比增速（%）</c:v>
                </c:pt>
              </c:strCache>
            </c:strRef>
          </c:cat>
          <c:val>
            <c:numRef>
              <c:f>[工作簿1]Sheet1!$B$3:$C$3</c:f>
              <c:numCache>
                <c:formatCode>General</c:formatCode>
                <c:ptCount val="2"/>
                <c:pt idx="0">
                  <c:v>43.51</c:v>
                </c:pt>
                <c:pt idx="1">
                  <c:v>17.5</c:v>
                </c:pt>
              </c:numCache>
            </c:numRef>
          </c:val>
        </c:ser>
        <c:dLbls>
          <c:showLegendKey val="0"/>
          <c:showVal val="0"/>
          <c:showCatName val="0"/>
          <c:showSerName val="0"/>
          <c:showPercent val="0"/>
          <c:showBubbleSize val="0"/>
        </c:dLbls>
        <c:gapWidth val="246"/>
        <c:overlap val="-28"/>
        <c:axId val="41377238"/>
        <c:axId val="406703626"/>
      </c:barChart>
      <c:catAx>
        <c:axId val="4137723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6703626"/>
        <c:crosses val="autoZero"/>
        <c:auto val="1"/>
        <c:lblAlgn val="ctr"/>
        <c:lblOffset val="100"/>
        <c:noMultiLvlLbl val="0"/>
      </c:catAx>
      <c:valAx>
        <c:axId val="40670362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37723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8aa8624-10bc-4045-a5e8-d74d73d79d8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4496</Words>
  <Characters>5260</Characters>
  <Lines>0</Lines>
  <Paragraphs>0</Paragraphs>
  <TotalTime>2</TotalTime>
  <ScaleCrop>false</ScaleCrop>
  <LinksUpToDate>false</LinksUpToDate>
  <CharactersWithSpaces>5999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2025-06-21T13:14:00Z</dcterms:created>
  <dc:creator>Lenovo</dc:creator>
  <cp:lastModifiedBy>孙尚笪</cp:lastModifiedBy>
  <dcterms:modified xsi:type="dcterms:W3CDTF">2026-03-09T11:57:49Z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D3ED54C2B10E4842A5DC56B8FD2FDE04_13</vt:lpwstr>
  </property>
  <property fmtid="{D5CDD505-2E9C-101B-9397-08002B2CF9AE}" pid="4" name="KSOTemplateDocerSaveRecord">
    <vt:lpwstr>eyJoZGlkIjoiMzEwNTM5NzYwMDRjMzkwZTVkZjY2ODkwMGIxNGU0OTUiLCJ1c2VySWQiOiIxNjI0NzUxMDE3In0=</vt:lpwstr>
  </property>
</Properties>
</file>