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8D9BCD" w14:textId="77777777" w:rsidR="003509ED" w:rsidRDefault="003509ED">
      <w:pPr>
        <w:spacing w:after="1200"/>
      </w:pPr>
    </w:p>
    <w:p w14:paraId="429ECB48" w14:textId="77777777" w:rsidR="003509ED" w:rsidRDefault="00D54235">
      <w:pPr>
        <w:spacing w:after="200"/>
        <w:jc w:val="center"/>
      </w:pPr>
      <w:r>
        <w:rPr>
          <w:rFonts w:ascii="Arial" w:eastAsia="Arial" w:hAnsi="Arial" w:cs="Arial"/>
          <w:b/>
          <w:bCs/>
          <w:caps/>
          <w:color w:val="1A6B72"/>
          <w:sz w:val="20"/>
          <w:szCs w:val="20"/>
        </w:rPr>
        <w:t>EVIDENCE BASE</w:t>
      </w:r>
    </w:p>
    <w:p w14:paraId="60E971C1" w14:textId="77777777" w:rsidR="003509ED" w:rsidRDefault="00D54235">
      <w:pPr>
        <w:spacing w:after="120"/>
        <w:jc w:val="center"/>
      </w:pPr>
      <w:r>
        <w:rPr>
          <w:rFonts w:ascii="Arial" w:eastAsia="Arial" w:hAnsi="Arial" w:cs="Arial"/>
          <w:b/>
          <w:bCs/>
          <w:color w:val="1A1A2E"/>
          <w:sz w:val="28"/>
          <w:szCs w:val="28"/>
        </w:rPr>
        <w:t>Theory of Change Documentation</w:t>
      </w:r>
    </w:p>
    <w:p w14:paraId="76BDE8D4" w14:textId="77777777" w:rsidR="003509ED" w:rsidRDefault="003509ED">
      <w:pPr>
        <w:pBdr>
          <w:bottom w:val="single" w:sz="4" w:space="8" w:color="1A6B72"/>
        </w:pBdr>
        <w:spacing w:after="400"/>
        <w:jc w:val="center"/>
      </w:pPr>
    </w:p>
    <w:p w14:paraId="6E9A068C" w14:textId="77777777" w:rsidR="003509ED" w:rsidRDefault="00D54235">
      <w:pPr>
        <w:spacing w:before="200" w:after="80"/>
        <w:jc w:val="center"/>
      </w:pPr>
      <w:r>
        <w:rPr>
          <w:rFonts w:ascii="Arial" w:eastAsia="Arial" w:hAnsi="Arial" w:cs="Arial"/>
          <w:b/>
          <w:bCs/>
          <w:color w:val="1A6B72"/>
          <w:sz w:val="48"/>
          <w:szCs w:val="48"/>
        </w:rPr>
        <w:t>Breaking the Cycle:</w:t>
      </w:r>
    </w:p>
    <w:p w14:paraId="25FA1AAD" w14:textId="77777777" w:rsidR="003509ED" w:rsidRDefault="00D54235">
      <w:pPr>
        <w:spacing w:after="80"/>
        <w:jc w:val="center"/>
      </w:pPr>
      <w:r>
        <w:rPr>
          <w:rFonts w:ascii="Arial" w:eastAsia="Arial" w:hAnsi="Arial" w:cs="Arial"/>
          <w:b/>
          <w:bCs/>
          <w:color w:val="1A1A2E"/>
          <w:sz w:val="40"/>
          <w:szCs w:val="40"/>
        </w:rPr>
        <w:t>Cognitive Behavioural Therapy for Children</w:t>
      </w:r>
    </w:p>
    <w:p w14:paraId="06DE3565" w14:textId="77777777" w:rsidR="003509ED" w:rsidRDefault="00D54235">
      <w:pPr>
        <w:spacing w:after="600"/>
        <w:jc w:val="center"/>
      </w:pPr>
      <w:r>
        <w:rPr>
          <w:rFonts w:ascii="Arial" w:eastAsia="Arial" w:hAnsi="Arial" w:cs="Arial"/>
          <w:b/>
          <w:bCs/>
          <w:color w:val="1A1A2E"/>
          <w:sz w:val="40"/>
          <w:szCs w:val="40"/>
        </w:rPr>
        <w:t>in GBV-Affected Households</w:t>
      </w:r>
    </w:p>
    <w:p w14:paraId="15B30F4D" w14:textId="77777777" w:rsidR="003509ED" w:rsidRDefault="00D54235">
      <w:pPr>
        <w:spacing w:after="80"/>
        <w:jc w:val="center"/>
      </w:pPr>
      <w:r>
        <w:rPr>
          <w:rFonts w:ascii="Arial" w:eastAsia="Arial" w:hAnsi="Arial" w:cs="Arial"/>
          <w:i/>
          <w:iCs/>
          <w:color w:val="555555"/>
        </w:rPr>
        <w:t>Literature Review &amp; Evidence Base</w:t>
      </w:r>
    </w:p>
    <w:p w14:paraId="115ECBE0" w14:textId="07696F3B" w:rsidR="003509ED" w:rsidRDefault="00D54235">
      <w:pPr>
        <w:spacing w:after="80"/>
        <w:jc w:val="center"/>
        <w:rPr>
          <w:rFonts w:ascii="Arial" w:eastAsia="Arial" w:hAnsi="Arial" w:cs="Arial"/>
          <w:color w:val="555555"/>
          <w:sz w:val="22"/>
          <w:szCs w:val="22"/>
        </w:rPr>
      </w:pPr>
      <w:r>
        <w:rPr>
          <w:rFonts w:ascii="Arial" w:eastAsia="Arial" w:hAnsi="Arial" w:cs="Arial"/>
          <w:color w:val="555555"/>
          <w:sz w:val="22"/>
          <w:szCs w:val="22"/>
        </w:rPr>
        <w:t>Prepared to Support Programme Theory of Change</w:t>
      </w:r>
    </w:p>
    <w:p w14:paraId="72DCCF98" w14:textId="335547BA" w:rsidR="006B4238" w:rsidRPr="006B4238" w:rsidRDefault="006B4238">
      <w:pPr>
        <w:spacing w:after="80"/>
        <w:jc w:val="center"/>
        <w:rPr>
          <w:lang w:val="en-US"/>
        </w:rPr>
      </w:pPr>
      <w:r>
        <w:rPr>
          <w:rFonts w:ascii="Arial" w:eastAsia="Arial" w:hAnsi="Arial" w:cs="Arial"/>
          <w:color w:val="555555"/>
          <w:sz w:val="22"/>
          <w:szCs w:val="22"/>
          <w:lang w:val="en-US"/>
        </w:rPr>
        <w:t xml:space="preserve">Prepared by </w:t>
      </w:r>
      <w:proofErr w:type="spellStart"/>
      <w:r>
        <w:rPr>
          <w:rFonts w:ascii="Arial" w:eastAsia="Arial" w:hAnsi="Arial" w:cs="Arial"/>
          <w:color w:val="555555"/>
          <w:sz w:val="22"/>
          <w:szCs w:val="22"/>
          <w:lang w:val="en-US"/>
        </w:rPr>
        <w:t>Sungeun</w:t>
      </w:r>
      <w:proofErr w:type="spellEnd"/>
      <w:r>
        <w:rPr>
          <w:rFonts w:ascii="Arial" w:eastAsia="Arial" w:hAnsi="Arial" w:cs="Arial"/>
          <w:color w:val="555555"/>
          <w:sz w:val="22"/>
          <w:szCs w:val="22"/>
          <w:lang w:val="en-US"/>
        </w:rPr>
        <w:t xml:space="preserve"> Kim</w:t>
      </w:r>
    </w:p>
    <w:p w14:paraId="7CC00E1D" w14:textId="77777777" w:rsidR="003509ED" w:rsidRDefault="003509ED">
      <w:pPr>
        <w:spacing w:after="1600"/>
      </w:pPr>
    </w:p>
    <w:p w14:paraId="30C43023" w14:textId="77777777" w:rsidR="003509ED" w:rsidRDefault="003509ED">
      <w:pPr>
        <w:pageBreakBefore/>
      </w:pPr>
    </w:p>
    <w:p w14:paraId="71776A94" w14:textId="77777777" w:rsidR="003509ED" w:rsidRDefault="00D54235">
      <w:pPr>
        <w:pStyle w:val="Heading1"/>
        <w:pBdr>
          <w:bottom w:val="single" w:sz="6" w:space="6" w:color="1A6B72"/>
        </w:pBdr>
      </w:pPr>
      <w:r>
        <w:t>1. Introduction</w:t>
      </w:r>
    </w:p>
    <w:p w14:paraId="0D40B4FE" w14:textId="77777777" w:rsidR="003509ED" w:rsidRDefault="00D54235">
      <w:pPr>
        <w:spacing w:before="80" w:after="120" w:line="276" w:lineRule="auto"/>
        <w:jc w:val="both"/>
      </w:pPr>
      <w:r>
        <w:rPr>
          <w:rFonts w:ascii="Arial" w:eastAsia="Arial" w:hAnsi="Arial" w:cs="Arial"/>
          <w:color w:val="1A1A2E"/>
          <w:sz w:val="22"/>
          <w:szCs w:val="22"/>
        </w:rPr>
        <w:t>This document presents the evidence base underpinning the Theory of Change for Breaking the Cycle: Cognitive Behavioural Therapy (CBT) for Children in GBV-Affe</w:t>
      </w:r>
      <w:r>
        <w:rPr>
          <w:rFonts w:ascii="Arial" w:eastAsia="Arial" w:hAnsi="Arial" w:cs="Arial"/>
          <w:color w:val="1A1A2E"/>
          <w:sz w:val="22"/>
          <w:szCs w:val="22"/>
        </w:rPr>
        <w:t>cted Households. It synthesises peer-reviewed research, systematic review findings, and programme evaluations to substantiate each causal pathway in the Theory of Change — from the problem diagnosis through to long-term outcomes.</w:t>
      </w:r>
    </w:p>
    <w:p w14:paraId="066C2641" w14:textId="77777777" w:rsidR="003509ED" w:rsidRDefault="00D54235">
      <w:pPr>
        <w:spacing w:before="80" w:after="120" w:line="276" w:lineRule="auto"/>
        <w:jc w:val="both"/>
      </w:pPr>
      <w:r>
        <w:rPr>
          <w:rFonts w:ascii="Arial" w:eastAsia="Arial" w:hAnsi="Arial" w:cs="Arial"/>
          <w:color w:val="1A1A2E"/>
          <w:sz w:val="22"/>
          <w:szCs w:val="22"/>
        </w:rPr>
        <w:t xml:space="preserve">The programme is premised </w:t>
      </w:r>
      <w:r>
        <w:rPr>
          <w:rFonts w:ascii="Arial" w:eastAsia="Arial" w:hAnsi="Arial" w:cs="Arial"/>
          <w:color w:val="1A1A2E"/>
          <w:sz w:val="22"/>
          <w:szCs w:val="22"/>
        </w:rPr>
        <w:t>on a robust and growing body of literature demonstrating that children who witness or experience gender-based violence (GBV) suffer significant and measurable psychological harm, that this harm is not inevitable or irreversible, and that structured, direct</w:t>
      </w:r>
      <w:r>
        <w:rPr>
          <w:rFonts w:ascii="Arial" w:eastAsia="Arial" w:hAnsi="Arial" w:cs="Arial"/>
          <w:color w:val="1A1A2E"/>
          <w:sz w:val="22"/>
          <w:szCs w:val="22"/>
        </w:rPr>
        <w:t xml:space="preserve"> therapeutic engagement — particularly CBT and Trauma-Focused CBT — produces sustained improvements in mental health, behaviour, and life outcomes. The evidence also addresses the risk of intergenerational transmission of violence and the conditions under </w:t>
      </w:r>
      <w:r>
        <w:rPr>
          <w:rFonts w:ascii="Arial" w:eastAsia="Arial" w:hAnsi="Arial" w:cs="Arial"/>
          <w:color w:val="1A1A2E"/>
          <w:sz w:val="22"/>
          <w:szCs w:val="22"/>
        </w:rPr>
        <w:t>which therapeutic gains are most likely to persist.</w:t>
      </w:r>
    </w:p>
    <w:p w14:paraId="7E044501" w14:textId="77777777" w:rsidR="003509ED" w:rsidRDefault="003509ED">
      <w:pPr>
        <w:spacing w:after="120"/>
      </w:pPr>
    </w:p>
    <w:p w14:paraId="04D83CD1" w14:textId="77777777" w:rsidR="003509ED" w:rsidRDefault="00D54235">
      <w:pPr>
        <w:pStyle w:val="Heading1"/>
        <w:pBdr>
          <w:bottom w:val="single" w:sz="6" w:space="6" w:color="1A6B72"/>
        </w:pBdr>
      </w:pPr>
      <w:r>
        <w:t>2. Problem Diagnosis: The Impact of GBV Exposure on Child Development</w:t>
      </w:r>
    </w:p>
    <w:p w14:paraId="76A1BE5E" w14:textId="77777777" w:rsidR="003509ED" w:rsidRDefault="00D54235">
      <w:pPr>
        <w:pStyle w:val="Heading2"/>
      </w:pPr>
      <w:r>
        <w:t>2.1 Prevalence and Scope of Harm</w:t>
      </w:r>
    </w:p>
    <w:p w14:paraId="36110EF1" w14:textId="77777777" w:rsidR="003509ED" w:rsidRDefault="00D54235">
      <w:pPr>
        <w:spacing w:before="80" w:after="120" w:line="276" w:lineRule="auto"/>
        <w:jc w:val="both"/>
      </w:pPr>
      <w:r>
        <w:rPr>
          <w:rFonts w:ascii="Arial" w:eastAsia="Arial" w:hAnsi="Arial" w:cs="Arial"/>
          <w:color w:val="1A1A2E"/>
          <w:sz w:val="22"/>
          <w:szCs w:val="22"/>
        </w:rPr>
        <w:t>Children in GBV-affected households are among the most psychologically vulnerable populations globally. Exposure to family violence — whether as a direct victim of child physical abuse (CPA) or as a witness to intimate partner violence — is consistently as</w:t>
      </w:r>
      <w:r>
        <w:rPr>
          <w:rFonts w:ascii="Arial" w:eastAsia="Arial" w:hAnsi="Arial" w:cs="Arial"/>
          <w:color w:val="1A1A2E"/>
          <w:sz w:val="22"/>
          <w:szCs w:val="22"/>
        </w:rPr>
        <w:t>sociated with elevated rates of post-traumatic stress disorder (PTSD), depression, anxiety, externalising behavioural problems, and difficulties in peer relationships (Holt et al.; Cohen et al.).</w:t>
      </w:r>
    </w:p>
    <w:p w14:paraId="0A7B0511" w14:textId="295D5AEB" w:rsidR="003509ED" w:rsidRDefault="00D54235" w:rsidP="00DA7167">
      <w:pPr>
        <w:spacing w:before="80" w:after="120" w:line="276" w:lineRule="auto"/>
        <w:jc w:val="both"/>
      </w:pPr>
      <w:r>
        <w:rPr>
          <w:rFonts w:ascii="Arial" w:eastAsia="Arial" w:hAnsi="Arial" w:cs="Arial"/>
          <w:color w:val="1A1A2E"/>
          <w:sz w:val="22"/>
          <w:szCs w:val="22"/>
        </w:rPr>
        <w:t>The Feel the ViBe study protocol highlights a particularly i</w:t>
      </w:r>
      <w:r>
        <w:rPr>
          <w:rFonts w:ascii="Arial" w:eastAsia="Arial" w:hAnsi="Arial" w:cs="Arial"/>
          <w:color w:val="1A1A2E"/>
          <w:sz w:val="22"/>
          <w:szCs w:val="22"/>
        </w:rPr>
        <w:t>mportant structural dimension of this problem: approximately one-third of children exposed to family violence go on to become victims or perpetrators of violence in adulthood, indicating a clear mechanism of intergenerational transmission. This cycle is no</w:t>
      </w:r>
      <w:r>
        <w:rPr>
          <w:rFonts w:ascii="Arial" w:eastAsia="Arial" w:hAnsi="Arial" w:cs="Arial"/>
          <w:color w:val="1A1A2E"/>
          <w:sz w:val="22"/>
          <w:szCs w:val="22"/>
        </w:rPr>
        <w:t>t deterministic, but it is well-documented — and it provides the primary rationale for early, structured intervention.</w:t>
      </w:r>
    </w:p>
    <w:p w14:paraId="2C7E1320" w14:textId="77777777" w:rsidR="003509ED" w:rsidRDefault="00D54235">
      <w:pPr>
        <w:pStyle w:val="Heading2"/>
      </w:pPr>
      <w:r>
        <w:t>2.2 Barriers to Help-Seeking and Service Access</w:t>
      </w:r>
    </w:p>
    <w:p w14:paraId="7BB08412" w14:textId="77777777" w:rsidR="003509ED" w:rsidRDefault="00D54235">
      <w:pPr>
        <w:spacing w:before="80" w:after="120" w:line="276" w:lineRule="auto"/>
        <w:jc w:val="both"/>
      </w:pPr>
      <w:r>
        <w:rPr>
          <w:rFonts w:ascii="Arial" w:eastAsia="Arial" w:hAnsi="Arial" w:cs="Arial"/>
          <w:color w:val="1A1A2E"/>
          <w:sz w:val="22"/>
          <w:szCs w:val="22"/>
        </w:rPr>
        <w:t>Research on the Feel the ViBe programme identifies a further layer of difficulty: children in violent households often actively prioritise protecting their parents over seeking help for themselves. Tradi</w:t>
      </w:r>
      <w:r>
        <w:rPr>
          <w:rFonts w:ascii="Arial" w:eastAsia="Arial" w:hAnsi="Arial" w:cs="Arial"/>
          <w:color w:val="1A1A2E"/>
          <w:sz w:val="22"/>
          <w:szCs w:val="22"/>
        </w:rPr>
        <w:t>tional services, meanwhile, frequently impose barriers — including requirements for parental consent and long waiting lists — that are structurally inaccessible to children in crisis. These dynamics underscore the importance of designing interventions that</w:t>
      </w:r>
      <w:r>
        <w:rPr>
          <w:rFonts w:ascii="Arial" w:eastAsia="Arial" w:hAnsi="Arial" w:cs="Arial"/>
          <w:color w:val="1A1A2E"/>
          <w:sz w:val="22"/>
          <w:szCs w:val="22"/>
        </w:rPr>
        <w:t xml:space="preserve"> proactively reach children rather than relying solely on self-referral.</w:t>
      </w:r>
    </w:p>
    <w:p w14:paraId="3DC79163" w14:textId="77777777" w:rsidR="003509ED" w:rsidRDefault="00D54235">
      <w:pPr>
        <w:spacing w:before="80" w:after="120" w:line="276" w:lineRule="auto"/>
        <w:jc w:val="both"/>
      </w:pPr>
      <w:r>
        <w:rPr>
          <w:rFonts w:ascii="Arial" w:eastAsia="Arial" w:hAnsi="Arial" w:cs="Arial"/>
          <w:color w:val="1A1A2E"/>
          <w:sz w:val="22"/>
          <w:szCs w:val="22"/>
        </w:rPr>
        <w:lastRenderedPageBreak/>
        <w:t>This population-level dynamic informs several features of the Breaking the Cycle programme design: the use of trusted, accessible referral pathways; a non-stigmatising framing; and, w</w:t>
      </w:r>
      <w:r>
        <w:rPr>
          <w:rFonts w:ascii="Arial" w:eastAsia="Arial" w:hAnsi="Arial" w:cs="Arial"/>
          <w:color w:val="1A1A2E"/>
          <w:sz w:val="22"/>
          <w:szCs w:val="22"/>
        </w:rPr>
        <w:t>here operationally appropriate, the ability to engage children without requiring the consent of an abusive parent.</w:t>
      </w:r>
    </w:p>
    <w:p w14:paraId="2C215DB4" w14:textId="77777777" w:rsidR="003509ED" w:rsidRDefault="003509ED">
      <w:pPr>
        <w:spacing w:after="120"/>
      </w:pPr>
    </w:p>
    <w:p w14:paraId="17149AF5" w14:textId="77777777" w:rsidR="003509ED" w:rsidRDefault="00D54235">
      <w:pPr>
        <w:pStyle w:val="Heading1"/>
        <w:pBdr>
          <w:bottom w:val="single" w:sz="6" w:space="6" w:color="1A6B72"/>
        </w:pBdr>
      </w:pPr>
      <w:r>
        <w:t>3. Evidence Supporting the Theory of Change</w:t>
      </w:r>
    </w:p>
    <w:p w14:paraId="0C89774F" w14:textId="77777777" w:rsidR="003509ED" w:rsidRDefault="00D54235">
      <w:pPr>
        <w:pStyle w:val="Heading2"/>
      </w:pPr>
      <w:r>
        <w:t>3.1 Necessity of Direct Child Engagement</w:t>
      </w:r>
    </w:p>
    <w:p w14:paraId="10B2BE0F" w14:textId="77777777" w:rsidR="003509ED" w:rsidRDefault="00D54235">
      <w:pPr>
        <w:spacing w:before="80" w:after="120" w:line="276" w:lineRule="auto"/>
        <w:jc w:val="both"/>
      </w:pPr>
      <w:r>
        <w:rPr>
          <w:rFonts w:ascii="Arial" w:eastAsia="Arial" w:hAnsi="Arial" w:cs="Arial"/>
          <w:color w:val="1A1A2E"/>
          <w:sz w:val="22"/>
          <w:szCs w:val="22"/>
        </w:rPr>
        <w:t>One of the most significant findings from the IMPROVE S</w:t>
      </w:r>
      <w:r>
        <w:rPr>
          <w:rFonts w:ascii="Arial" w:eastAsia="Arial" w:hAnsi="Arial" w:cs="Arial"/>
          <w:color w:val="1A1A2E"/>
          <w:sz w:val="22"/>
          <w:szCs w:val="22"/>
        </w:rPr>
        <w:t>ystematic Review (Systematic Review of Interventions for Children Exposed to Domestic Violence and Abuse) is also one of the most counterintuitive: programmes delivered only to the non-abusive parent — typically the mother — without a direct child componen</w:t>
      </w:r>
      <w:r>
        <w:rPr>
          <w:rFonts w:ascii="Arial" w:eastAsia="Arial" w:hAnsi="Arial" w:cs="Arial"/>
          <w:color w:val="1A1A2E"/>
          <w:sz w:val="22"/>
          <w:szCs w:val="22"/>
        </w:rPr>
        <w:t>t did not demonstrate significant improvements in child outcomes. This is a critical distinction for programme design and funding priorities.</w:t>
      </w:r>
    </w:p>
    <w:p w14:paraId="3A7B7A38" w14:textId="5D9E9F97" w:rsidR="003509ED" w:rsidRDefault="00D54235" w:rsidP="00DA7167">
      <w:pPr>
        <w:spacing w:before="80" w:after="120" w:line="276" w:lineRule="auto"/>
        <w:jc w:val="both"/>
      </w:pPr>
      <w:r>
        <w:rPr>
          <w:rFonts w:ascii="Arial" w:eastAsia="Arial" w:hAnsi="Arial" w:cs="Arial"/>
          <w:color w:val="1A1A2E"/>
          <w:sz w:val="22"/>
          <w:szCs w:val="22"/>
        </w:rPr>
        <w:t>The evidence is clear that for measurable therapeutic recovery, children must be directly engaged in treatment. Th</w:t>
      </w:r>
      <w:r>
        <w:rPr>
          <w:rFonts w:ascii="Arial" w:eastAsia="Arial" w:hAnsi="Arial" w:cs="Arial"/>
          <w:color w:val="1A1A2E"/>
          <w:sz w:val="22"/>
          <w:szCs w:val="22"/>
        </w:rPr>
        <w:t xml:space="preserve">e IMPROVE review finds that programmes involving the child directly, or working with the parent-child dyad, outperform parent-only models on every major outcome metric including PTSD symptoms, externalising behaviour, and peer conflict. This finding forms </w:t>
      </w:r>
      <w:r>
        <w:rPr>
          <w:rFonts w:ascii="Arial" w:eastAsia="Arial" w:hAnsi="Arial" w:cs="Arial"/>
          <w:color w:val="1A1A2E"/>
          <w:sz w:val="22"/>
          <w:szCs w:val="22"/>
        </w:rPr>
        <w:t>the primary rationale for Breaking the Cycle's direct child engagement model.</w:t>
      </w:r>
    </w:p>
    <w:p w14:paraId="2E0C7775" w14:textId="77777777" w:rsidR="003509ED" w:rsidRDefault="00D54235">
      <w:pPr>
        <w:pStyle w:val="Heading2"/>
      </w:pPr>
      <w:r>
        <w:t>3.2 Efficacy of Cognitive Behavioural Therapy with Children</w:t>
      </w:r>
    </w:p>
    <w:p w14:paraId="2F4F976D" w14:textId="77777777" w:rsidR="003509ED" w:rsidRDefault="00D54235">
      <w:pPr>
        <w:pStyle w:val="Heading3"/>
      </w:pPr>
      <w:r>
        <w:t>3.2.1 Symptom Reduction</w:t>
      </w:r>
    </w:p>
    <w:p w14:paraId="576E619B" w14:textId="7D75B4E5" w:rsidR="003509ED" w:rsidRDefault="00D54235" w:rsidP="00DA7167">
      <w:pPr>
        <w:spacing w:before="80" w:after="120" w:line="276" w:lineRule="auto"/>
        <w:jc w:val="both"/>
      </w:pPr>
      <w:r>
        <w:rPr>
          <w:rFonts w:ascii="Arial" w:eastAsia="Arial" w:hAnsi="Arial" w:cs="Arial"/>
          <w:color w:val="1A1A2E"/>
          <w:sz w:val="22"/>
          <w:szCs w:val="22"/>
        </w:rPr>
        <w:t xml:space="preserve">The IMPROVE Systematic Review provides strong evidence for </w:t>
      </w:r>
      <w:r>
        <w:rPr>
          <w:rFonts w:ascii="Arial" w:eastAsia="Arial" w:hAnsi="Arial" w:cs="Arial"/>
          <w:color w:val="1A1A2E"/>
          <w:sz w:val="22"/>
          <w:szCs w:val="22"/>
        </w:rPr>
        <w:t xml:space="preserve">CBT-based approaches with children aged 7–14 who present with trauma symptoms. Short-term Trauma-Focused CBT (TF-CBT) produces significant improvements in anxiety and PTSD symptoms compared to non-specific child-centred therapy. This evidence base applies </w:t>
      </w:r>
      <w:r>
        <w:rPr>
          <w:rFonts w:ascii="Arial" w:eastAsia="Arial" w:hAnsi="Arial" w:cs="Arial"/>
          <w:color w:val="1A1A2E"/>
          <w:sz w:val="22"/>
          <w:szCs w:val="22"/>
        </w:rPr>
        <w:t>directly to the target population of Breaking the Cycle, which serves children of comparable age ranges in GBV-affected households.</w:t>
      </w:r>
    </w:p>
    <w:p w14:paraId="40A34E4D" w14:textId="77777777" w:rsidR="003509ED" w:rsidRDefault="00D54235">
      <w:pPr>
        <w:pStyle w:val="Heading3"/>
      </w:pPr>
      <w:r>
        <w:t>3.2.2 Mood, Self-Worth, and Behavioural Outcomes</w:t>
      </w:r>
    </w:p>
    <w:p w14:paraId="13DE99DE" w14:textId="27A9B8FE" w:rsidR="003509ED" w:rsidRDefault="00D54235" w:rsidP="00DA7167">
      <w:pPr>
        <w:spacing w:before="80" w:after="120" w:line="276" w:lineRule="auto"/>
        <w:jc w:val="both"/>
      </w:pPr>
      <w:r>
        <w:rPr>
          <w:rFonts w:ascii="Arial" w:eastAsia="Arial" w:hAnsi="Arial" w:cs="Arial"/>
          <w:color w:val="1A1A2E"/>
          <w:sz w:val="22"/>
          <w:szCs w:val="22"/>
        </w:rPr>
        <w:t>Beyond symptom reduction, the IMPROVE review documents improvements in ove</w:t>
      </w:r>
      <w:r>
        <w:rPr>
          <w:rFonts w:ascii="Arial" w:eastAsia="Arial" w:hAnsi="Arial" w:cs="Arial"/>
          <w:color w:val="1A1A2E"/>
          <w:sz w:val="22"/>
          <w:szCs w:val="22"/>
        </w:rPr>
        <w:t xml:space="preserve">rall mood and self-esteem through goal-oriented CBT approaches in school-aged children (6–12 years). On behavioural outcomes — externalising problems and peer conflict — direct psychotherapeutic interventions, including both CBT and long-term child-parent </w:t>
      </w:r>
      <w:r>
        <w:rPr>
          <w:rFonts w:ascii="Arial" w:eastAsia="Arial" w:hAnsi="Arial" w:cs="Arial"/>
          <w:color w:val="1A1A2E"/>
          <w:sz w:val="22"/>
          <w:szCs w:val="22"/>
        </w:rPr>
        <w:t>psychotherapy, are found to be superior to advocacy-only models. This evidence supports the programme's multi-level outcome framework, which tracks improvements across internalising symptoms, self-concept, and social behaviour.</w:t>
      </w:r>
    </w:p>
    <w:p w14:paraId="5DC199A3" w14:textId="77777777" w:rsidR="003509ED" w:rsidRDefault="00D54235">
      <w:pPr>
        <w:pStyle w:val="Heading3"/>
      </w:pPr>
      <w:r>
        <w:t>3.2.3 Core CBT Components f</w:t>
      </w:r>
      <w:r>
        <w:t>or Trauma-Exposed Children</w:t>
      </w:r>
    </w:p>
    <w:p w14:paraId="672FE0B3" w14:textId="77777777" w:rsidR="003509ED" w:rsidRDefault="00D54235">
      <w:pPr>
        <w:spacing w:before="80" w:after="120" w:line="276" w:lineRule="auto"/>
        <w:jc w:val="both"/>
      </w:pPr>
      <w:r>
        <w:rPr>
          <w:rFonts w:ascii="Arial" w:eastAsia="Arial" w:hAnsi="Arial" w:cs="Arial"/>
          <w:color w:val="1A1A2E"/>
          <w:sz w:val="22"/>
          <w:szCs w:val="22"/>
        </w:rPr>
        <w:t xml:space="preserve">The article Post-Traumatic Stress in Children and Adolescents Exposed to Family Violence: II. Treatment provides a detailed account of the cognitive-behavioural components with the </w:t>
      </w:r>
      <w:r>
        <w:rPr>
          <w:rFonts w:ascii="Arial" w:eastAsia="Arial" w:hAnsi="Arial" w:cs="Arial"/>
          <w:color w:val="1A1A2E"/>
          <w:sz w:val="22"/>
          <w:szCs w:val="22"/>
        </w:rPr>
        <w:lastRenderedPageBreak/>
        <w:t>strongest evidence base for this population. The</w:t>
      </w:r>
      <w:r>
        <w:rPr>
          <w:rFonts w:ascii="Arial" w:eastAsia="Arial" w:hAnsi="Arial" w:cs="Arial"/>
          <w:color w:val="1A1A2E"/>
          <w:sz w:val="22"/>
          <w:szCs w:val="22"/>
        </w:rPr>
        <w:t>se are directly reflected in the Breaking the Cycle curriculum:</w:t>
      </w:r>
    </w:p>
    <w:p w14:paraId="32CC0EBE" w14:textId="77777777" w:rsidR="003509ED" w:rsidRDefault="00D54235">
      <w:pPr>
        <w:pStyle w:val="ListParagraph"/>
        <w:numPr>
          <w:ilvl w:val="0"/>
          <w:numId w:val="2"/>
        </w:numPr>
        <w:spacing w:before="60" w:after="60" w:line="264" w:lineRule="auto"/>
      </w:pPr>
      <w:r>
        <w:rPr>
          <w:color w:val="1A1A2E"/>
        </w:rPr>
        <w:t>Re-exposure interventions (trauma narratives) to help children process traumatic memories and develop mastery over their experiences in a contained therapeutic environment.</w:t>
      </w:r>
    </w:p>
    <w:p w14:paraId="595E4F16" w14:textId="77777777" w:rsidR="003509ED" w:rsidRDefault="00D54235">
      <w:pPr>
        <w:pStyle w:val="ListParagraph"/>
        <w:numPr>
          <w:ilvl w:val="0"/>
          <w:numId w:val="2"/>
        </w:numPr>
        <w:spacing w:before="60" w:after="60" w:line="264" w:lineRule="auto"/>
      </w:pPr>
      <w:r>
        <w:rPr>
          <w:color w:val="1A1A2E"/>
        </w:rPr>
        <w:t>Cognitive restructuring to challenge maladaptive beliefs — particularly the 'lesson</w:t>
      </w:r>
      <w:r>
        <w:rPr>
          <w:color w:val="1A1A2E"/>
        </w:rPr>
        <w:t>' that aggression is acceptable and the distorted self-attribution of responsibility for parental violence.</w:t>
      </w:r>
    </w:p>
    <w:p w14:paraId="120CE473" w14:textId="77777777" w:rsidR="003509ED" w:rsidRDefault="00D54235">
      <w:pPr>
        <w:pStyle w:val="ListParagraph"/>
        <w:numPr>
          <w:ilvl w:val="0"/>
          <w:numId w:val="2"/>
        </w:numPr>
        <w:spacing w:before="60" w:after="60" w:line="264" w:lineRule="auto"/>
      </w:pPr>
      <w:r>
        <w:rPr>
          <w:color w:val="1A1A2E"/>
        </w:rPr>
        <w:t>Emotion regulation skills, including somatic awareness and deep breathing, to interrupt the escalation pathway from anxiety to anger.</w:t>
      </w:r>
    </w:p>
    <w:p w14:paraId="13A4C102" w14:textId="77777777" w:rsidR="003509ED" w:rsidRDefault="00D54235">
      <w:pPr>
        <w:pStyle w:val="ListParagraph"/>
        <w:numPr>
          <w:ilvl w:val="0"/>
          <w:numId w:val="2"/>
        </w:numPr>
        <w:spacing w:before="60" w:after="60" w:line="264" w:lineRule="auto"/>
      </w:pPr>
      <w:r>
        <w:rPr>
          <w:color w:val="1A1A2E"/>
        </w:rPr>
        <w:t>Safety plannin</w:t>
      </w:r>
      <w:r>
        <w:rPr>
          <w:color w:val="1A1A2E"/>
        </w:rPr>
        <w:t>g to help children identify danger cues and trusted adults, reinforcing agency without placing responsibility for parental behaviour on the child.</w:t>
      </w:r>
    </w:p>
    <w:p w14:paraId="6C976F30" w14:textId="048B196F" w:rsidR="003509ED" w:rsidRDefault="00D54235" w:rsidP="00DA7167">
      <w:pPr>
        <w:pStyle w:val="ListParagraph"/>
        <w:numPr>
          <w:ilvl w:val="0"/>
          <w:numId w:val="2"/>
        </w:numPr>
        <w:spacing w:before="60" w:after="60" w:line="264" w:lineRule="auto"/>
      </w:pPr>
      <w:r>
        <w:rPr>
          <w:color w:val="1A1A2E"/>
        </w:rPr>
        <w:t xml:space="preserve">Parenting component for the non-offending caregiver, focused on eliminating corporal punishment and building </w:t>
      </w:r>
      <w:r>
        <w:rPr>
          <w:color w:val="1A1A2E"/>
        </w:rPr>
        <w:t>positive reinforcement strategies to support the child's recovery.</w:t>
      </w:r>
    </w:p>
    <w:p w14:paraId="08916DCA" w14:textId="77777777" w:rsidR="003509ED" w:rsidRDefault="00D54235">
      <w:pPr>
        <w:pStyle w:val="Heading2"/>
      </w:pPr>
      <w:r>
        <w:t>3</w:t>
      </w:r>
      <w:r>
        <w:t>.3 Sustained Long-Term Effects of TF-CBT</w:t>
      </w:r>
    </w:p>
    <w:p w14:paraId="4E2DA0D8" w14:textId="77777777" w:rsidR="003509ED" w:rsidRDefault="00D54235">
      <w:pPr>
        <w:spacing w:before="80" w:after="120" w:line="276" w:lineRule="auto"/>
        <w:jc w:val="both"/>
      </w:pPr>
      <w:r>
        <w:rPr>
          <w:rFonts w:ascii="Arial" w:eastAsia="Arial" w:hAnsi="Arial" w:cs="Arial"/>
          <w:color w:val="1A1A2E"/>
          <w:sz w:val="22"/>
          <w:szCs w:val="22"/>
        </w:rPr>
        <w:t>A mixed-methods evaluation of TF-CBT outcomes 4–5 years after treatment completion provides particularly compelling evidence for the durability of</w:t>
      </w:r>
      <w:r>
        <w:rPr>
          <w:rFonts w:ascii="Arial" w:eastAsia="Arial" w:hAnsi="Arial" w:cs="Arial"/>
          <w:color w:val="1A1A2E"/>
          <w:sz w:val="22"/>
          <w:szCs w:val="22"/>
        </w:rPr>
        <w:t xml:space="preserve"> therapeutic gains. The study finds that the majority of participants no longer met clinical criteria for PTSD or other stress-related diagnoses at long-term follow-up, and that reductions in trauma symptoms were correlated with lower rates of co-occurring</w:t>
      </w:r>
      <w:r>
        <w:rPr>
          <w:rFonts w:ascii="Arial" w:eastAsia="Arial" w:hAnsi="Arial" w:cs="Arial"/>
          <w:color w:val="1A1A2E"/>
          <w:sz w:val="22"/>
          <w:szCs w:val="22"/>
        </w:rPr>
        <w:t xml:space="preserve"> depression and anxiety.</w:t>
      </w:r>
    </w:p>
    <w:p w14:paraId="47805CBA" w14:textId="77777777" w:rsidR="003509ED" w:rsidRDefault="00D54235">
      <w:pPr>
        <w:spacing w:before="80" w:after="120" w:line="276" w:lineRule="auto"/>
        <w:jc w:val="both"/>
      </w:pPr>
      <w:r>
        <w:rPr>
          <w:rFonts w:ascii="Arial" w:eastAsia="Arial" w:hAnsi="Arial" w:cs="Arial"/>
          <w:color w:val="1A1A2E"/>
          <w:sz w:val="22"/>
          <w:szCs w:val="22"/>
        </w:rPr>
        <w:t>This evidence of sustained improvement is central to Breaking the Cycle's claim to long-term impact. It also highlights the conditions under which TF-CBT is most effective: gains are most likely to persist when children are able to</w:t>
      </w:r>
      <w:r>
        <w:rPr>
          <w:rFonts w:ascii="Arial" w:eastAsia="Arial" w:hAnsi="Arial" w:cs="Arial"/>
          <w:color w:val="1A1A2E"/>
          <w:sz w:val="22"/>
          <w:szCs w:val="22"/>
        </w:rPr>
        <w:t xml:space="preserve"> construct a coherent trauma narrative and when parent-child communication is actively maintained after treatment concludes.</w:t>
      </w:r>
    </w:p>
    <w:p w14:paraId="4060291B" w14:textId="675B6627" w:rsidR="003509ED" w:rsidRDefault="00D54235" w:rsidP="00DA7167">
      <w:pPr>
        <w:spacing w:before="80" w:after="120" w:line="276" w:lineRule="auto"/>
        <w:jc w:val="both"/>
      </w:pPr>
      <w:r>
        <w:rPr>
          <w:rFonts w:ascii="Arial" w:eastAsia="Arial" w:hAnsi="Arial" w:cs="Arial"/>
          <w:color w:val="1A1A2E"/>
          <w:sz w:val="22"/>
          <w:szCs w:val="22"/>
        </w:rPr>
        <w:t>The same study, however, identifies a critical group of non-responders — children who continued to exhibit severe symptoms — and tr</w:t>
      </w:r>
      <w:r>
        <w:rPr>
          <w:rFonts w:ascii="Arial" w:eastAsia="Arial" w:hAnsi="Arial" w:cs="Arial"/>
          <w:color w:val="1A1A2E"/>
          <w:sz w:val="22"/>
          <w:szCs w:val="22"/>
        </w:rPr>
        <w:t>aces this to two principal factors: continued contact with a violent caregiver who denied or minimised the abuse, and a post-treatment decline in parent-child communication. These findings directly inform the programme's safeguarding protocols and its emph</w:t>
      </w:r>
      <w:r>
        <w:rPr>
          <w:rFonts w:ascii="Arial" w:eastAsia="Arial" w:hAnsi="Arial" w:cs="Arial"/>
          <w:color w:val="1A1A2E"/>
          <w:sz w:val="22"/>
          <w:szCs w:val="22"/>
        </w:rPr>
        <w:t>asis on ongoing caregiver involvement as a protective factor.</w:t>
      </w:r>
    </w:p>
    <w:p w14:paraId="4415D2F7" w14:textId="77777777" w:rsidR="003509ED" w:rsidRDefault="00D54235">
      <w:pPr>
        <w:pStyle w:val="Heading2"/>
      </w:pPr>
      <w:r>
        <w:t>3.4 Evidence on Specific Programme Modalities</w:t>
      </w:r>
    </w:p>
    <w:p w14:paraId="144B25A0" w14:textId="77777777" w:rsidR="003509ED" w:rsidRDefault="00D54235">
      <w:pPr>
        <w:spacing w:before="80" w:after="120" w:line="276" w:lineRule="auto"/>
        <w:jc w:val="both"/>
      </w:pPr>
      <w:r>
        <w:rPr>
          <w:rFonts w:ascii="Arial" w:eastAsia="Arial" w:hAnsi="Arial" w:cs="Arial"/>
          <w:color w:val="1A1A2E"/>
          <w:sz w:val="22"/>
          <w:szCs w:val="22"/>
        </w:rPr>
        <w:t>A range of structured programmes provides further empirical support for the Breaking the Cyc</w:t>
      </w:r>
      <w:r>
        <w:rPr>
          <w:rFonts w:ascii="Arial" w:eastAsia="Arial" w:hAnsi="Arial" w:cs="Arial"/>
          <w:color w:val="1A1A2E"/>
          <w:sz w:val="22"/>
          <w:szCs w:val="22"/>
        </w:rPr>
        <w:t>le intervention model. The table below summarises the primary evidence from established interventions aligned with the programme's approach:</w:t>
      </w:r>
    </w:p>
    <w:p w14:paraId="21EF2113" w14:textId="77777777" w:rsidR="003509ED" w:rsidRDefault="003509E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509ED" w14:paraId="7A9BD544"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A6B72"/>
            <w:tcMar>
              <w:top w:w="100" w:type="dxa"/>
              <w:left w:w="120" w:type="dxa"/>
              <w:bottom w:w="100" w:type="dxa"/>
              <w:right w:w="120" w:type="dxa"/>
            </w:tcMar>
          </w:tcPr>
          <w:p w14:paraId="6DD4A759" w14:textId="77777777" w:rsidR="003509ED" w:rsidRDefault="00D54235">
            <w:r>
              <w:rPr>
                <w:rFonts w:ascii="Arial" w:eastAsia="Arial" w:hAnsi="Arial" w:cs="Arial"/>
                <w:b/>
                <w:bCs/>
                <w:color w:val="FFFFFF"/>
                <w:sz w:val="20"/>
                <w:szCs w:val="20"/>
              </w:rPr>
              <w:t>Intervention</w:t>
            </w:r>
          </w:p>
        </w:tc>
        <w:tc>
          <w:tcPr>
            <w:tcW w:w="0" w:type="auto"/>
            <w:tcBorders>
              <w:top w:val="single" w:sz="1" w:space="0" w:color="AAAAAA"/>
              <w:left w:val="single" w:sz="1" w:space="0" w:color="AAAAAA"/>
              <w:bottom w:val="single" w:sz="1" w:space="0" w:color="AAAAAA"/>
              <w:right w:val="single" w:sz="1" w:space="0" w:color="AAAAAA"/>
            </w:tcBorders>
            <w:shd w:val="clear" w:color="auto" w:fill="1A6B72"/>
            <w:tcMar>
              <w:top w:w="100" w:type="dxa"/>
              <w:left w:w="120" w:type="dxa"/>
              <w:bottom w:w="100" w:type="dxa"/>
              <w:right w:w="120" w:type="dxa"/>
            </w:tcMar>
          </w:tcPr>
          <w:p w14:paraId="1224EC2F" w14:textId="77777777" w:rsidR="003509ED" w:rsidRDefault="00D54235">
            <w:r>
              <w:rPr>
                <w:rFonts w:ascii="Arial" w:eastAsia="Arial" w:hAnsi="Arial" w:cs="Arial"/>
                <w:b/>
                <w:bCs/>
                <w:color w:val="FFFFFF"/>
                <w:sz w:val="20"/>
                <w:szCs w:val="20"/>
              </w:rPr>
              <w:t>Target Age</w:t>
            </w:r>
          </w:p>
        </w:tc>
        <w:tc>
          <w:tcPr>
            <w:tcW w:w="0" w:type="auto"/>
            <w:tcBorders>
              <w:top w:val="single" w:sz="1" w:space="0" w:color="AAAAAA"/>
              <w:left w:val="single" w:sz="1" w:space="0" w:color="AAAAAA"/>
              <w:bottom w:val="single" w:sz="1" w:space="0" w:color="AAAAAA"/>
              <w:right w:val="single" w:sz="1" w:space="0" w:color="AAAAAA"/>
            </w:tcBorders>
            <w:shd w:val="clear" w:color="auto" w:fill="1A6B72"/>
            <w:tcMar>
              <w:top w:w="100" w:type="dxa"/>
              <w:left w:w="120" w:type="dxa"/>
              <w:bottom w:w="100" w:type="dxa"/>
              <w:right w:w="120" w:type="dxa"/>
            </w:tcMar>
          </w:tcPr>
          <w:p w14:paraId="2D857B73" w14:textId="77777777" w:rsidR="003509ED" w:rsidRDefault="00D54235">
            <w:r>
              <w:rPr>
                <w:rFonts w:ascii="Arial" w:eastAsia="Arial" w:hAnsi="Arial" w:cs="Arial"/>
                <w:b/>
                <w:bCs/>
                <w:color w:val="FFFFFF"/>
                <w:sz w:val="20"/>
                <w:szCs w:val="20"/>
              </w:rPr>
              <w:t>Primary Outcomes</w:t>
            </w:r>
          </w:p>
        </w:tc>
        <w:tc>
          <w:tcPr>
            <w:tcW w:w="0" w:type="auto"/>
            <w:tcBorders>
              <w:top w:val="single" w:sz="1" w:space="0" w:color="AAAAAA"/>
              <w:left w:val="single" w:sz="1" w:space="0" w:color="AAAAAA"/>
              <w:bottom w:val="single" w:sz="1" w:space="0" w:color="AAAAAA"/>
              <w:right w:val="single" w:sz="1" w:space="0" w:color="AAAAAA"/>
            </w:tcBorders>
            <w:shd w:val="clear" w:color="auto" w:fill="1A6B72"/>
            <w:tcMar>
              <w:top w:w="100" w:type="dxa"/>
              <w:left w:w="120" w:type="dxa"/>
              <w:bottom w:w="100" w:type="dxa"/>
              <w:right w:w="120" w:type="dxa"/>
            </w:tcMar>
          </w:tcPr>
          <w:p w14:paraId="74DDC357" w14:textId="77777777" w:rsidR="003509ED" w:rsidRDefault="00D54235">
            <w:r>
              <w:rPr>
                <w:rFonts w:ascii="Arial" w:eastAsia="Arial" w:hAnsi="Arial" w:cs="Arial"/>
                <w:b/>
                <w:bCs/>
                <w:color w:val="FFFFFF"/>
                <w:sz w:val="20"/>
                <w:szCs w:val="20"/>
              </w:rPr>
              <w:t>Source</w:t>
            </w:r>
          </w:p>
        </w:tc>
      </w:tr>
      <w:tr w:rsidR="003509ED" w14:paraId="30DE00B3"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47518ADD" w14:textId="77777777" w:rsidR="003509ED" w:rsidRDefault="00D54235">
            <w:r>
              <w:rPr>
                <w:rFonts w:ascii="Arial" w:eastAsia="Arial" w:hAnsi="Arial" w:cs="Arial"/>
                <w:color w:val="1A1A2E"/>
                <w:sz w:val="20"/>
                <w:szCs w:val="20"/>
              </w:rPr>
              <w:t>Child-Parent Psychotherapy (CPP)</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1E490F30" w14:textId="77777777" w:rsidR="003509ED" w:rsidRDefault="00D54235">
            <w:r>
              <w:rPr>
                <w:rFonts w:ascii="Arial" w:eastAsia="Arial" w:hAnsi="Arial" w:cs="Arial"/>
                <w:color w:val="1A1A2E"/>
                <w:sz w:val="20"/>
                <w:szCs w:val="20"/>
              </w:rPr>
              <w:t>3–5 years</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73D8622D" w14:textId="77777777" w:rsidR="003509ED" w:rsidRDefault="00D54235">
            <w:r>
              <w:rPr>
                <w:rFonts w:ascii="Arial" w:eastAsia="Arial" w:hAnsi="Arial" w:cs="Arial"/>
                <w:color w:val="1A1A2E"/>
                <w:sz w:val="20"/>
                <w:szCs w:val="20"/>
              </w:rPr>
              <w:t xml:space="preserve">Reduction in traumatic stress and behaviour problems; improved </w:t>
            </w:r>
            <w:r>
              <w:rPr>
                <w:rFonts w:ascii="Arial" w:eastAsia="Arial" w:hAnsi="Arial" w:cs="Arial"/>
                <w:color w:val="1A1A2E"/>
                <w:sz w:val="20"/>
                <w:szCs w:val="20"/>
              </w:rPr>
              <w:lastRenderedPageBreak/>
              <w:t>mother-child relationship</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4F3B4BF6" w14:textId="77777777" w:rsidR="003509ED" w:rsidRDefault="00D54235">
            <w:r>
              <w:rPr>
                <w:rFonts w:ascii="Arial" w:eastAsia="Arial" w:hAnsi="Arial" w:cs="Arial"/>
                <w:color w:val="1A1A2E"/>
                <w:sz w:val="20"/>
                <w:szCs w:val="20"/>
              </w:rPr>
              <w:lastRenderedPageBreak/>
              <w:t>Cohen et al., 2009</w:t>
            </w:r>
          </w:p>
        </w:tc>
      </w:tr>
      <w:tr w:rsidR="003509ED" w14:paraId="009A66FA"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E8F4F5"/>
            <w:tcMar>
              <w:top w:w="100" w:type="dxa"/>
              <w:left w:w="120" w:type="dxa"/>
              <w:bottom w:w="100" w:type="dxa"/>
              <w:right w:w="120" w:type="dxa"/>
            </w:tcMar>
          </w:tcPr>
          <w:p w14:paraId="4FCD8ED2" w14:textId="77777777" w:rsidR="003509ED" w:rsidRDefault="00D54235">
            <w:r>
              <w:rPr>
                <w:rFonts w:ascii="Arial" w:eastAsia="Arial" w:hAnsi="Arial" w:cs="Arial"/>
                <w:color w:val="1A1A2E"/>
                <w:sz w:val="20"/>
                <w:szCs w:val="20"/>
              </w:rPr>
              <w:t>The Kids' Club</w:t>
            </w:r>
          </w:p>
        </w:tc>
        <w:tc>
          <w:tcPr>
            <w:tcW w:w="2340" w:type="dxa"/>
            <w:tcBorders>
              <w:top w:val="single" w:sz="1" w:space="0" w:color="AAAAAA"/>
              <w:left w:val="single" w:sz="1" w:space="0" w:color="AAAAAA"/>
              <w:bottom w:val="single" w:sz="1" w:space="0" w:color="AAAAAA"/>
              <w:right w:val="single" w:sz="1" w:space="0" w:color="AAAAAA"/>
            </w:tcBorders>
            <w:shd w:val="clear" w:color="auto" w:fill="E8F4F5"/>
            <w:tcMar>
              <w:top w:w="100" w:type="dxa"/>
              <w:left w:w="120" w:type="dxa"/>
              <w:bottom w:w="100" w:type="dxa"/>
              <w:right w:w="120" w:type="dxa"/>
            </w:tcMar>
          </w:tcPr>
          <w:p w14:paraId="1BECE62F" w14:textId="77777777" w:rsidR="003509ED" w:rsidRDefault="00D54235">
            <w:r>
              <w:rPr>
                <w:rFonts w:ascii="Arial" w:eastAsia="Arial" w:hAnsi="Arial" w:cs="Arial"/>
                <w:color w:val="1A1A2E"/>
                <w:sz w:val="20"/>
                <w:szCs w:val="20"/>
              </w:rPr>
              <w:t>5–13 years</w:t>
            </w:r>
          </w:p>
        </w:tc>
        <w:tc>
          <w:tcPr>
            <w:tcW w:w="2340" w:type="dxa"/>
            <w:tcBorders>
              <w:top w:val="single" w:sz="1" w:space="0" w:color="AAAAAA"/>
              <w:left w:val="single" w:sz="1" w:space="0" w:color="AAAAAA"/>
              <w:bottom w:val="single" w:sz="1" w:space="0" w:color="AAAAAA"/>
              <w:right w:val="single" w:sz="1" w:space="0" w:color="AAAAAA"/>
            </w:tcBorders>
            <w:shd w:val="clear" w:color="auto" w:fill="E8F4F5"/>
            <w:tcMar>
              <w:top w:w="100" w:type="dxa"/>
              <w:left w:w="120" w:type="dxa"/>
              <w:bottom w:w="100" w:type="dxa"/>
              <w:right w:w="120" w:type="dxa"/>
            </w:tcMar>
          </w:tcPr>
          <w:p w14:paraId="6A474F05" w14:textId="77777777" w:rsidR="003509ED" w:rsidRDefault="00D54235">
            <w:r>
              <w:rPr>
                <w:rFonts w:ascii="Arial" w:eastAsia="Arial" w:hAnsi="Arial" w:cs="Arial"/>
                <w:color w:val="1A1A2E"/>
                <w:sz w:val="20"/>
                <w:szCs w:val="20"/>
              </w:rPr>
              <w:t>Fewer PTSD diagnoses post-treatment; improved attitudes toward violence</w:t>
            </w:r>
          </w:p>
        </w:tc>
        <w:tc>
          <w:tcPr>
            <w:tcW w:w="2340" w:type="dxa"/>
            <w:tcBorders>
              <w:top w:val="single" w:sz="1" w:space="0" w:color="AAAAAA"/>
              <w:left w:val="single" w:sz="1" w:space="0" w:color="AAAAAA"/>
              <w:bottom w:val="single" w:sz="1" w:space="0" w:color="AAAAAA"/>
              <w:right w:val="single" w:sz="1" w:space="0" w:color="AAAAAA"/>
            </w:tcBorders>
            <w:shd w:val="clear" w:color="auto" w:fill="E8F4F5"/>
            <w:tcMar>
              <w:top w:w="100" w:type="dxa"/>
              <w:left w:w="120" w:type="dxa"/>
              <w:bottom w:w="100" w:type="dxa"/>
              <w:right w:w="120" w:type="dxa"/>
            </w:tcMar>
          </w:tcPr>
          <w:p w14:paraId="4CAF6AA0" w14:textId="77777777" w:rsidR="003509ED" w:rsidRDefault="00D54235">
            <w:r>
              <w:rPr>
                <w:rFonts w:ascii="Arial" w:eastAsia="Arial" w:hAnsi="Arial" w:cs="Arial"/>
                <w:color w:val="1A1A2E"/>
                <w:sz w:val="20"/>
                <w:szCs w:val="20"/>
              </w:rPr>
              <w:t>Graham-Bermann et al.</w:t>
            </w:r>
          </w:p>
        </w:tc>
      </w:tr>
      <w:tr w:rsidR="003509ED" w14:paraId="03038BB6"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3E6D390C" w14:textId="77777777" w:rsidR="003509ED" w:rsidRDefault="00D54235">
            <w:r>
              <w:rPr>
                <w:rFonts w:ascii="Arial" w:eastAsia="Arial" w:hAnsi="Arial" w:cs="Arial"/>
                <w:color w:val="1A1A2E"/>
                <w:sz w:val="20"/>
                <w:szCs w:val="20"/>
              </w:rPr>
              <w:t>Trauma-Focused CBT (TF-CBT)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7F324BFC" w14:textId="77777777" w:rsidR="003509ED" w:rsidRDefault="00D54235">
            <w:r>
              <w:rPr>
                <w:rFonts w:ascii="Arial" w:eastAsia="Arial" w:hAnsi="Arial" w:cs="Arial"/>
                <w:color w:val="1A1A2E"/>
                <w:sz w:val="20"/>
                <w:szCs w:val="20"/>
              </w:rPr>
              <w:t>8–14 years</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479A0AEB" w14:textId="77777777" w:rsidR="003509ED" w:rsidRDefault="00D54235">
            <w:r>
              <w:rPr>
                <w:rFonts w:ascii="Arial" w:eastAsia="Arial" w:hAnsi="Arial" w:cs="Arial"/>
                <w:color w:val="1A1A2E"/>
                <w:sz w:val="20"/>
                <w:szCs w:val="20"/>
              </w:rPr>
              <w:t>Significant reductions in PTSD, depression, and shame; effects sustained 4–5 years post-treatment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7BA1A352" w14:textId="77777777" w:rsidR="003509ED" w:rsidRDefault="00D54235">
            <w:r>
              <w:rPr>
                <w:rFonts w:ascii="Arial" w:eastAsia="Arial" w:hAnsi="Arial" w:cs="Arial"/>
                <w:color w:val="1A1A2E"/>
                <w:sz w:val="20"/>
                <w:szCs w:val="20"/>
              </w:rPr>
              <w:t>Holt et al.; Cohen et al.</w:t>
            </w:r>
          </w:p>
        </w:tc>
      </w:tr>
      <w:tr w:rsidR="003509ED" w14:paraId="21CAF2F3"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E8F4F5"/>
            <w:tcMar>
              <w:top w:w="100" w:type="dxa"/>
              <w:left w:w="120" w:type="dxa"/>
              <w:bottom w:w="100" w:type="dxa"/>
              <w:right w:w="120" w:type="dxa"/>
            </w:tcMar>
          </w:tcPr>
          <w:p w14:paraId="3A136F9A" w14:textId="77777777" w:rsidR="003509ED" w:rsidRDefault="00D54235">
            <w:r>
              <w:rPr>
                <w:rFonts w:ascii="Arial" w:eastAsia="Arial" w:hAnsi="Arial" w:cs="Arial"/>
                <w:color w:val="1A1A2E"/>
                <w:sz w:val="20"/>
                <w:szCs w:val="20"/>
              </w:rPr>
              <w:t>Youth Relationships Project</w:t>
            </w:r>
          </w:p>
        </w:tc>
        <w:tc>
          <w:tcPr>
            <w:tcW w:w="2340" w:type="dxa"/>
            <w:tcBorders>
              <w:top w:val="single" w:sz="1" w:space="0" w:color="AAAAAA"/>
              <w:left w:val="single" w:sz="1" w:space="0" w:color="AAAAAA"/>
              <w:bottom w:val="single" w:sz="1" w:space="0" w:color="AAAAAA"/>
              <w:right w:val="single" w:sz="1" w:space="0" w:color="AAAAAA"/>
            </w:tcBorders>
            <w:shd w:val="clear" w:color="auto" w:fill="E8F4F5"/>
            <w:tcMar>
              <w:top w:w="100" w:type="dxa"/>
              <w:left w:w="120" w:type="dxa"/>
              <w:bottom w:w="100" w:type="dxa"/>
              <w:right w:w="120" w:type="dxa"/>
            </w:tcMar>
          </w:tcPr>
          <w:p w14:paraId="16AD406A" w14:textId="77777777" w:rsidR="003509ED" w:rsidRDefault="00D54235">
            <w:r>
              <w:rPr>
                <w:rFonts w:ascii="Arial" w:eastAsia="Arial" w:hAnsi="Arial" w:cs="Arial"/>
                <w:color w:val="1A1A2E"/>
                <w:sz w:val="20"/>
                <w:szCs w:val="20"/>
              </w:rPr>
              <w:t>14–16 years</w:t>
            </w:r>
          </w:p>
        </w:tc>
        <w:tc>
          <w:tcPr>
            <w:tcW w:w="2340" w:type="dxa"/>
            <w:tcBorders>
              <w:top w:val="single" w:sz="1" w:space="0" w:color="AAAAAA"/>
              <w:left w:val="single" w:sz="1" w:space="0" w:color="AAAAAA"/>
              <w:bottom w:val="single" w:sz="1" w:space="0" w:color="AAAAAA"/>
              <w:right w:val="single" w:sz="1" w:space="0" w:color="AAAAAA"/>
            </w:tcBorders>
            <w:shd w:val="clear" w:color="auto" w:fill="E8F4F5"/>
            <w:tcMar>
              <w:top w:w="100" w:type="dxa"/>
              <w:left w:w="120" w:type="dxa"/>
              <w:bottom w:w="100" w:type="dxa"/>
              <w:right w:w="120" w:type="dxa"/>
            </w:tcMar>
          </w:tcPr>
          <w:p w14:paraId="0F8CE858" w14:textId="77777777" w:rsidR="003509ED" w:rsidRDefault="00D54235">
            <w:r>
              <w:rPr>
                <w:rFonts w:ascii="Arial" w:eastAsia="Arial" w:hAnsi="Arial" w:cs="Arial"/>
                <w:color w:val="1A1A2E"/>
                <w:sz w:val="20"/>
                <w:szCs w:val="20"/>
              </w:rPr>
              <w:t>Reduced post-traumatic stress; decreased likelihood of future dating violence</w:t>
            </w:r>
          </w:p>
        </w:tc>
        <w:tc>
          <w:tcPr>
            <w:tcW w:w="2340" w:type="dxa"/>
            <w:tcBorders>
              <w:top w:val="single" w:sz="1" w:space="0" w:color="AAAAAA"/>
              <w:left w:val="single" w:sz="1" w:space="0" w:color="AAAAAA"/>
              <w:bottom w:val="single" w:sz="1" w:space="0" w:color="AAAAAA"/>
              <w:right w:val="single" w:sz="1" w:space="0" w:color="AAAAAA"/>
            </w:tcBorders>
            <w:shd w:val="clear" w:color="auto" w:fill="E8F4F5"/>
            <w:tcMar>
              <w:top w:w="100" w:type="dxa"/>
              <w:left w:w="120" w:type="dxa"/>
              <w:bottom w:w="100" w:type="dxa"/>
              <w:right w:w="120" w:type="dxa"/>
            </w:tcMar>
          </w:tcPr>
          <w:p w14:paraId="2BBA3689" w14:textId="77777777" w:rsidR="003509ED" w:rsidRDefault="00D54235">
            <w:r>
              <w:rPr>
                <w:rFonts w:ascii="Arial" w:eastAsia="Arial" w:hAnsi="Arial" w:cs="Arial"/>
                <w:color w:val="1A1A2E"/>
                <w:sz w:val="20"/>
                <w:szCs w:val="20"/>
              </w:rPr>
              <w:t>Wolfe et al.</w:t>
            </w:r>
          </w:p>
        </w:tc>
      </w:tr>
      <w:tr w:rsidR="003509ED" w14:paraId="49F97589"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01D70B34" w14:textId="77777777" w:rsidR="003509ED" w:rsidRDefault="00D54235">
            <w:r>
              <w:rPr>
                <w:rFonts w:ascii="Arial" w:eastAsia="Arial" w:hAnsi="Arial" w:cs="Arial"/>
                <w:color w:val="1A1A2E"/>
                <w:sz w:val="20"/>
                <w:szCs w:val="20"/>
              </w:rPr>
              <w:t>Becoming a Man (BAM)*</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31D582D6" w14:textId="77777777" w:rsidR="003509ED" w:rsidRDefault="00D54235">
            <w:r>
              <w:rPr>
                <w:rFonts w:ascii="Arial" w:eastAsia="Arial" w:hAnsi="Arial" w:cs="Arial"/>
                <w:color w:val="1A1A2E"/>
                <w:sz w:val="20"/>
                <w:szCs w:val="20"/>
              </w:rPr>
              <w:t>High school</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67092761" w14:textId="77777777" w:rsidR="003509ED" w:rsidRDefault="00D54235">
            <w:r>
              <w:rPr>
                <w:rFonts w:ascii="Arial" w:eastAsia="Arial" w:hAnsi="Arial" w:cs="Arial"/>
                <w:color w:val="1A1A2E"/>
                <w:sz w:val="20"/>
                <w:szCs w:val="20"/>
              </w:rPr>
              <w:t>Arrests reduced 12%; violent crime arrests reduced 20%; graduation rates up 9%</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6538AAB3" w14:textId="77777777" w:rsidR="003509ED" w:rsidRDefault="00D54235">
            <w:r>
              <w:rPr>
                <w:rFonts w:ascii="Arial" w:eastAsia="Arial" w:hAnsi="Arial" w:cs="Arial"/>
                <w:color w:val="1A1A2E"/>
                <w:sz w:val="20"/>
                <w:szCs w:val="20"/>
              </w:rPr>
              <w:t>Heller et al., 2017</w:t>
            </w:r>
          </w:p>
        </w:tc>
      </w:tr>
      <w:tr w:rsidR="003509ED" w14:paraId="6E965B7F"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E8F4F5"/>
            <w:tcMar>
              <w:top w:w="100" w:type="dxa"/>
              <w:left w:w="120" w:type="dxa"/>
              <w:bottom w:w="100" w:type="dxa"/>
              <w:right w:w="120" w:type="dxa"/>
            </w:tcMar>
          </w:tcPr>
          <w:p w14:paraId="021EE0D0" w14:textId="77777777" w:rsidR="003509ED" w:rsidRDefault="00D54235">
            <w:r>
              <w:rPr>
                <w:rFonts w:ascii="Arial" w:eastAsia="Arial" w:hAnsi="Arial" w:cs="Arial"/>
                <w:color w:val="1A1A2E"/>
                <w:sz w:val="20"/>
                <w:szCs w:val="20"/>
              </w:rPr>
              <w:t>STYL Programme (Liberia)*</w:t>
            </w:r>
          </w:p>
        </w:tc>
        <w:tc>
          <w:tcPr>
            <w:tcW w:w="2340" w:type="dxa"/>
            <w:tcBorders>
              <w:top w:val="single" w:sz="1" w:space="0" w:color="AAAAAA"/>
              <w:left w:val="single" w:sz="1" w:space="0" w:color="AAAAAA"/>
              <w:bottom w:val="single" w:sz="1" w:space="0" w:color="AAAAAA"/>
              <w:right w:val="single" w:sz="1" w:space="0" w:color="AAAAAA"/>
            </w:tcBorders>
            <w:shd w:val="clear" w:color="auto" w:fill="E8F4F5"/>
            <w:tcMar>
              <w:top w:w="100" w:type="dxa"/>
              <w:left w:w="120" w:type="dxa"/>
              <w:bottom w:w="100" w:type="dxa"/>
              <w:right w:w="120" w:type="dxa"/>
            </w:tcMar>
          </w:tcPr>
          <w:p w14:paraId="75A34F72" w14:textId="77777777" w:rsidR="003509ED" w:rsidRDefault="00D54235">
            <w:r>
              <w:rPr>
                <w:rFonts w:ascii="Arial" w:eastAsia="Arial" w:hAnsi="Arial" w:cs="Arial"/>
                <w:color w:val="1A1A2E"/>
                <w:sz w:val="20"/>
                <w:szCs w:val="20"/>
              </w:rPr>
              <w:t>High-risk young men</w:t>
            </w:r>
          </w:p>
        </w:tc>
        <w:tc>
          <w:tcPr>
            <w:tcW w:w="2340" w:type="dxa"/>
            <w:tcBorders>
              <w:top w:val="single" w:sz="1" w:space="0" w:color="AAAAAA"/>
              <w:left w:val="single" w:sz="1" w:space="0" w:color="AAAAAA"/>
              <w:bottom w:val="single" w:sz="1" w:space="0" w:color="AAAAAA"/>
              <w:right w:val="single" w:sz="1" w:space="0" w:color="AAAAAA"/>
            </w:tcBorders>
            <w:shd w:val="clear" w:color="auto" w:fill="E8F4F5"/>
            <w:tcMar>
              <w:top w:w="100" w:type="dxa"/>
              <w:left w:w="120" w:type="dxa"/>
              <w:bottom w:w="100" w:type="dxa"/>
              <w:right w:w="120" w:type="dxa"/>
            </w:tcMar>
          </w:tcPr>
          <w:p w14:paraId="152BB7FD" w14:textId="77777777" w:rsidR="003509ED" w:rsidRDefault="00D54235">
            <w:r>
              <w:rPr>
                <w:rFonts w:ascii="Arial" w:eastAsia="Arial" w:hAnsi="Arial" w:cs="Arial"/>
                <w:color w:val="1A1A2E"/>
                <w:sz w:val="20"/>
                <w:szCs w:val="20"/>
              </w:rPr>
              <w:t>Self-reported crimes reduced &gt;50% short-term; effects sustained at 10-year follow-up</w:t>
            </w:r>
          </w:p>
        </w:tc>
        <w:tc>
          <w:tcPr>
            <w:tcW w:w="2340" w:type="dxa"/>
            <w:tcBorders>
              <w:top w:val="single" w:sz="1" w:space="0" w:color="AAAAAA"/>
              <w:left w:val="single" w:sz="1" w:space="0" w:color="AAAAAA"/>
              <w:bottom w:val="single" w:sz="1" w:space="0" w:color="AAAAAA"/>
              <w:right w:val="single" w:sz="1" w:space="0" w:color="AAAAAA"/>
            </w:tcBorders>
            <w:shd w:val="clear" w:color="auto" w:fill="E8F4F5"/>
            <w:tcMar>
              <w:top w:w="100" w:type="dxa"/>
              <w:left w:w="120" w:type="dxa"/>
              <w:bottom w:w="100" w:type="dxa"/>
              <w:right w:w="120" w:type="dxa"/>
            </w:tcMar>
          </w:tcPr>
          <w:p w14:paraId="493E1AC9" w14:textId="77777777" w:rsidR="003509ED" w:rsidRDefault="00D54235">
            <w:r>
              <w:rPr>
                <w:rFonts w:ascii="Arial" w:eastAsia="Arial" w:hAnsi="Arial" w:cs="Arial"/>
                <w:color w:val="1A1A2E"/>
                <w:sz w:val="20"/>
                <w:szCs w:val="20"/>
              </w:rPr>
              <w:t>Blattman et al., 2017</w:t>
            </w:r>
          </w:p>
        </w:tc>
      </w:tr>
      <w:tr w:rsidR="003509ED" w14:paraId="3C072F0F"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1941061C" w14:textId="77777777" w:rsidR="003509ED" w:rsidRDefault="00D54235">
            <w:r>
              <w:rPr>
                <w:rFonts w:ascii="Arial" w:eastAsia="Arial" w:hAnsi="Arial" w:cs="Arial"/>
                <w:color w:val="1A1A2E"/>
                <w:sz w:val="20"/>
                <w:szCs w:val="20"/>
              </w:rPr>
              <w:t>Problem Management Plus (PM+)</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6E941418" w14:textId="77777777" w:rsidR="003509ED" w:rsidRDefault="00D54235">
            <w:r>
              <w:rPr>
                <w:rFonts w:ascii="Arial" w:eastAsia="Arial" w:hAnsi="Arial" w:cs="Arial"/>
                <w:color w:val="1A1A2E"/>
                <w:sz w:val="20"/>
                <w:szCs w:val="20"/>
              </w:rPr>
              <w:t>Adult women, GBV survivors</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41D3D833" w14:textId="77777777" w:rsidR="003509ED" w:rsidRDefault="00D54235">
            <w:r>
              <w:rPr>
                <w:rFonts w:ascii="Arial" w:eastAsia="Arial" w:hAnsi="Arial" w:cs="Arial"/>
                <w:color w:val="1A1A2E"/>
                <w:sz w:val="20"/>
                <w:szCs w:val="20"/>
              </w:rPr>
              <w:t>Significant reduction in psychological distress among GBV survivors in low-resource settings</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771A038D" w14:textId="77777777" w:rsidR="003509ED" w:rsidRDefault="00D54235">
            <w:r>
              <w:rPr>
                <w:rFonts w:ascii="Arial" w:eastAsia="Arial" w:hAnsi="Arial" w:cs="Arial"/>
                <w:color w:val="1A1A2E"/>
                <w:sz w:val="20"/>
                <w:szCs w:val="20"/>
              </w:rPr>
              <w:t>Haushofer et al., 2023</w:t>
            </w:r>
          </w:p>
        </w:tc>
      </w:tr>
    </w:tbl>
    <w:p w14:paraId="2E1F5EDE" w14:textId="77777777" w:rsidR="003509ED" w:rsidRDefault="00D54235">
      <w:pPr>
        <w:spacing w:before="120" w:after="80" w:line="252" w:lineRule="auto"/>
        <w:jc w:val="both"/>
      </w:pPr>
      <w:r>
        <w:rPr>
          <w:rFonts w:ascii="Arial" w:eastAsia="Arial" w:hAnsi="Arial" w:cs="Arial"/>
          <w:i/>
          <w:color w:val="555555"/>
          <w:sz w:val="18"/>
          <w:szCs w:val="18"/>
        </w:rPr>
        <w:t xml:space="preserve">* Note: The Becoming a Man (BAM) and STYL Programme (Liberia) studies did not specifically target children or young people with a history of gender-based violence exposure. They are included here to demonstrate the broader effectiveness of CBT in reducing </w:t>
      </w:r>
      <w:r>
        <w:rPr>
          <w:rFonts w:ascii="Arial" w:eastAsia="Arial" w:hAnsi="Arial" w:cs="Arial"/>
          <w:i/>
          <w:color w:val="555555"/>
          <w:sz w:val="18"/>
          <w:szCs w:val="18"/>
        </w:rPr>
        <w:t>violent behaviour and improving self-regulation across diverse high-risk populations and contexts. Their findings strengthen the case for CBT as a robust and transferable intervention modality, complementing the GBV-specific evidence presented elsewhere in</w:t>
      </w:r>
      <w:r>
        <w:rPr>
          <w:rFonts w:ascii="Arial" w:eastAsia="Arial" w:hAnsi="Arial" w:cs="Arial"/>
          <w:i/>
          <w:color w:val="555555"/>
          <w:sz w:val="18"/>
          <w:szCs w:val="18"/>
        </w:rPr>
        <w:t xml:space="preserve"> this review.</w:t>
      </w:r>
    </w:p>
    <w:p w14:paraId="04872852" w14:textId="77777777" w:rsidR="003509ED" w:rsidRDefault="00D54235">
      <w:pPr>
        <w:spacing w:before="80" w:after="120" w:line="276" w:lineRule="auto"/>
        <w:jc w:val="both"/>
      </w:pPr>
      <w:r>
        <w:rPr>
          <w:rFonts w:ascii="Arial" w:eastAsia="Arial" w:hAnsi="Arial" w:cs="Arial"/>
          <w:color w:val="1A1A2E"/>
          <w:sz w:val="22"/>
          <w:szCs w:val="22"/>
        </w:rPr>
        <w:t>Each of these programmes contributes a distinct dimension of evidence. Child-Parent Psychotherapy (CPP) demonstrates the importance of the relational dyad in treating the youngest and most vulnerable children. The Kids' Club validates group-b</w:t>
      </w:r>
      <w:r>
        <w:rPr>
          <w:rFonts w:ascii="Arial" w:eastAsia="Arial" w:hAnsi="Arial" w:cs="Arial"/>
          <w:color w:val="1A1A2E"/>
          <w:sz w:val="22"/>
          <w:szCs w:val="22"/>
        </w:rPr>
        <w:t>ased psychoeducational formats for primary-school-aged children. TF-CBT is the most rigorously evaluated individual-therapy model for older children in this population. The Youth Relationships Project extends the evidence to adolescents and demonstrates th</w:t>
      </w:r>
      <w:r>
        <w:rPr>
          <w:rFonts w:ascii="Arial" w:eastAsia="Arial" w:hAnsi="Arial" w:cs="Arial"/>
          <w:color w:val="1A1A2E"/>
          <w:sz w:val="22"/>
          <w:szCs w:val="22"/>
        </w:rPr>
        <w:t>e preventive value of early intervention for future perpetration and victimisation.</w:t>
      </w:r>
    </w:p>
    <w:p w14:paraId="502271B5" w14:textId="77777777" w:rsidR="003509ED" w:rsidRDefault="003509ED">
      <w:pPr>
        <w:spacing w:after="120"/>
      </w:pPr>
    </w:p>
    <w:p w14:paraId="54711521" w14:textId="77777777" w:rsidR="003509ED" w:rsidRDefault="00D54235">
      <w:pPr>
        <w:pStyle w:val="Heading1"/>
        <w:pBdr>
          <w:bottom w:val="single" w:sz="6" w:space="6" w:color="1A6B72"/>
        </w:pBdr>
      </w:pPr>
      <w:r>
        <w:lastRenderedPageBreak/>
        <w:t>4. Behavioural Change Evidence: CBT and Violence Reduction</w:t>
      </w:r>
    </w:p>
    <w:p w14:paraId="11446DCE" w14:textId="77777777" w:rsidR="003509ED" w:rsidRDefault="00D54235">
      <w:pPr>
        <w:pStyle w:val="Heading2"/>
      </w:pPr>
      <w:r>
        <w:t>4.1 CBT for Youth Violence Prevention</w:t>
      </w:r>
    </w:p>
    <w:p w14:paraId="09353103" w14:textId="77777777" w:rsidR="003509ED" w:rsidRDefault="00D54235">
      <w:pPr>
        <w:spacing w:before="80" w:after="120" w:line="276" w:lineRule="auto"/>
        <w:jc w:val="both"/>
      </w:pPr>
      <w:r>
        <w:rPr>
          <w:rFonts w:ascii="Arial" w:eastAsia="Arial" w:hAnsi="Arial" w:cs="Arial"/>
          <w:color w:val="1A1A2E"/>
          <w:sz w:val="22"/>
          <w:szCs w:val="22"/>
        </w:rPr>
        <w:t>The evidence for CBT as a tool for violence prevention — not only treatment of existing trauma — comes from two particularly robust evaluations. The Becoming a Man (BAM) programme, evaluated across two randomised trials involving more than 4,800 students i</w:t>
      </w:r>
      <w:r>
        <w:rPr>
          <w:rFonts w:ascii="Arial" w:eastAsia="Arial" w:hAnsi="Arial" w:cs="Arial"/>
          <w:color w:val="1A1A2E"/>
          <w:sz w:val="22"/>
          <w:szCs w:val="22"/>
        </w:rPr>
        <w:t>n Chicago Public Schools, demonstrates that weekly CBT group sessions can produce significant and measurable shifts in harmful automatic behaviours among high-risk male youth. Arrests were reduced by 12%, violent crime arrests by 20%, and on-time high scho</w:t>
      </w:r>
      <w:r>
        <w:rPr>
          <w:rFonts w:ascii="Arial" w:eastAsia="Arial" w:hAnsi="Arial" w:cs="Arial"/>
          <w:color w:val="1A1A2E"/>
          <w:sz w:val="22"/>
          <w:szCs w:val="22"/>
        </w:rPr>
        <w:t>ol graduation increased by 9% (Heller et al., 2017).</w:t>
      </w:r>
    </w:p>
    <w:p w14:paraId="7BA56392" w14:textId="0950460E" w:rsidR="003509ED" w:rsidRDefault="00D54235" w:rsidP="006C00E5">
      <w:pPr>
        <w:spacing w:before="80" w:after="120" w:line="276" w:lineRule="auto"/>
        <w:jc w:val="both"/>
      </w:pPr>
      <w:r>
        <w:rPr>
          <w:rFonts w:ascii="Arial" w:eastAsia="Arial" w:hAnsi="Arial" w:cs="Arial"/>
          <w:color w:val="1A1A2E"/>
          <w:sz w:val="22"/>
          <w:szCs w:val="22"/>
        </w:rPr>
        <w:t>The economic case is also robust: societal benefits from the BAM programme were estimated at five to thirty times greater than programme costs of $1,100–$1,850 per student per year, providing a strong argument for cost-effectiveness i</w:t>
      </w:r>
      <w:r>
        <w:rPr>
          <w:rFonts w:ascii="Arial" w:eastAsia="Arial" w:hAnsi="Arial" w:cs="Arial"/>
          <w:color w:val="1A1A2E"/>
          <w:sz w:val="22"/>
          <w:szCs w:val="22"/>
        </w:rPr>
        <w:t>n advocacy contexts.</w:t>
      </w:r>
    </w:p>
    <w:p w14:paraId="12E9CB0F" w14:textId="77777777" w:rsidR="003509ED" w:rsidRDefault="00D54235">
      <w:pPr>
        <w:pStyle w:val="Heading2"/>
      </w:pPr>
      <w:r>
        <w:t>4.2 Long-Term Persistence of CBT Effects</w:t>
      </w:r>
    </w:p>
    <w:p w14:paraId="2E1FAB08" w14:textId="77777777" w:rsidR="003509ED" w:rsidRDefault="00D54235">
      <w:pPr>
        <w:spacing w:before="80" w:after="120" w:line="276" w:lineRule="auto"/>
        <w:jc w:val="both"/>
      </w:pPr>
      <w:r>
        <w:rPr>
          <w:rFonts w:ascii="Arial" w:eastAsia="Arial" w:hAnsi="Arial" w:cs="Arial"/>
          <w:color w:val="1A1A2E"/>
          <w:sz w:val="22"/>
          <w:szCs w:val="22"/>
        </w:rPr>
        <w:t>Perhaps the strongest evidence for the durability of CBT effects on violent behaviour comes from the Sustainable Transformation of Youth in Liberia (STYL) programme evaluation (Blattman et al., 2017). Among 999 high-risk young men, an eight-week CBT progra</w:t>
      </w:r>
      <w:r>
        <w:rPr>
          <w:rFonts w:ascii="Arial" w:eastAsia="Arial" w:hAnsi="Arial" w:cs="Arial"/>
          <w:color w:val="1A1A2E"/>
          <w:sz w:val="22"/>
          <w:szCs w:val="22"/>
        </w:rPr>
        <w:t>mme reduced self-reported crimes by more than 50% in the short term. Crucially, these reductions remained statistically significant ten years after the intervention — making this one of the longest follow-up periods in the violence prevention literature.</w:t>
      </w:r>
    </w:p>
    <w:p w14:paraId="27AC7529" w14:textId="1E17642A" w:rsidR="00D244C4" w:rsidRDefault="00D54235" w:rsidP="00D244C4">
      <w:pPr>
        <w:spacing w:before="80" w:after="120" w:line="276" w:lineRule="auto"/>
        <w:jc w:val="both"/>
      </w:pPr>
      <w:r>
        <w:rPr>
          <w:rFonts w:ascii="Arial" w:eastAsia="Arial" w:hAnsi="Arial" w:cs="Arial"/>
          <w:color w:val="1A1A2E"/>
          <w:sz w:val="22"/>
          <w:szCs w:val="22"/>
        </w:rPr>
        <w:t>T</w:t>
      </w:r>
      <w:r>
        <w:rPr>
          <w:rFonts w:ascii="Arial" w:eastAsia="Arial" w:hAnsi="Arial" w:cs="Arial"/>
          <w:color w:val="1A1A2E"/>
          <w:sz w:val="22"/>
          <w:szCs w:val="22"/>
        </w:rPr>
        <w:t>he STYL findings are especially relevant to Breaking the Cycle's theory of long-term impact on intergenerational transmission of violence. If CBT effects on impulsive, antisocial behaviour can persist for a decade among high-risk young adults, this substan</w:t>
      </w:r>
      <w:r>
        <w:rPr>
          <w:rFonts w:ascii="Arial" w:eastAsia="Arial" w:hAnsi="Arial" w:cs="Arial"/>
          <w:color w:val="1A1A2E"/>
          <w:sz w:val="22"/>
          <w:szCs w:val="22"/>
        </w:rPr>
        <w:t>tially strengthens the programme's claim that intervening therapeutically with children in GBV-affected households can disrupt the intergenerational cycle of violence over a lifetime.</w:t>
      </w:r>
      <w:r w:rsidR="00FA20BF">
        <w:rPr>
          <w:lang w:val="en-US"/>
        </w:rPr>
        <w:t xml:space="preserve"> </w:t>
      </w:r>
      <w:r>
        <w:rPr>
          <w:rFonts w:ascii="Arial" w:eastAsia="Arial" w:hAnsi="Arial" w:cs="Arial"/>
          <w:color w:val="1A1A2E"/>
          <w:sz w:val="22"/>
          <w:szCs w:val="22"/>
        </w:rPr>
        <w:t>The STYL study also finds that the programme was most effective among th</w:t>
      </w:r>
      <w:r>
        <w:rPr>
          <w:rFonts w:ascii="Arial" w:eastAsia="Arial" w:hAnsi="Arial" w:cs="Arial"/>
          <w:color w:val="1A1A2E"/>
          <w:sz w:val="22"/>
          <w:szCs w:val="22"/>
        </w:rPr>
        <w:t>ose with the highest levels of antisocial behaviour at baseline</w:t>
      </w:r>
      <w:r w:rsidR="00FA20BF">
        <w:rPr>
          <w:color w:val="1A1A2E"/>
          <w:lang w:val="en-US"/>
        </w:rPr>
        <w:t>.</w:t>
      </w:r>
    </w:p>
    <w:p w14:paraId="6EB3AE05" w14:textId="6378ADB2" w:rsidR="003509ED" w:rsidRDefault="00D54235">
      <w:pPr>
        <w:pStyle w:val="Heading1"/>
        <w:pBdr>
          <w:bottom w:val="single" w:sz="6" w:space="6" w:color="1A6B72"/>
        </w:pBdr>
      </w:pPr>
      <w:r>
        <w:t>5</w:t>
      </w:r>
      <w:r>
        <w:t>. Evidence in GBV-Specific Contexts</w:t>
      </w:r>
    </w:p>
    <w:p w14:paraId="7E27EA2D" w14:textId="77777777" w:rsidR="003509ED" w:rsidRDefault="00D54235">
      <w:pPr>
        <w:pStyle w:val="Heading2"/>
      </w:pPr>
      <w:r>
        <w:t>5.1 Psychotherapy for GBV-Affected Populations in Low-Re</w:t>
      </w:r>
      <w:r>
        <w:t>source Settings</w:t>
      </w:r>
    </w:p>
    <w:p w14:paraId="5C4FC3FF" w14:textId="77777777" w:rsidR="003509ED" w:rsidRDefault="00D54235">
      <w:pPr>
        <w:spacing w:before="80" w:after="120" w:line="276" w:lineRule="auto"/>
        <w:jc w:val="both"/>
      </w:pPr>
      <w:r>
        <w:rPr>
          <w:rFonts w:ascii="Arial" w:eastAsia="Arial" w:hAnsi="Arial" w:cs="Arial"/>
          <w:color w:val="1A1A2E"/>
          <w:sz w:val="22"/>
          <w:szCs w:val="22"/>
        </w:rPr>
        <w:t>The evidence base for psychotherapy in GBV-affected populations extends beyond high-income, Western contexts. Research on Problem Management Plus (PM+), developed by the World Health Organization for use in low-resource settings, demonstrat</w:t>
      </w:r>
      <w:r>
        <w:rPr>
          <w:rFonts w:ascii="Arial" w:eastAsia="Arial" w:hAnsi="Arial" w:cs="Arial"/>
          <w:color w:val="1A1A2E"/>
          <w:sz w:val="22"/>
          <w:szCs w:val="22"/>
        </w:rPr>
        <w:t>es the effectiveness of brief structured psychotherapy specifically among women with a history of GBV exposure in Kenya. A randomised clinical trial found that PM+ significantly reduced psychological distress in this population, and a subsequent larger eva</w:t>
      </w:r>
      <w:r>
        <w:rPr>
          <w:rFonts w:ascii="Arial" w:eastAsia="Arial" w:hAnsi="Arial" w:cs="Arial"/>
          <w:color w:val="1A1A2E"/>
          <w:sz w:val="22"/>
          <w:szCs w:val="22"/>
        </w:rPr>
        <w:t>luation confirmed these effects in rural settings (Haushofer et al., 2023).</w:t>
      </w:r>
    </w:p>
    <w:p w14:paraId="485DF992" w14:textId="77777777" w:rsidR="003509ED" w:rsidRDefault="00D54235">
      <w:pPr>
        <w:pStyle w:val="Heading2"/>
      </w:pPr>
      <w:r>
        <w:t>5</w:t>
      </w:r>
      <w:r>
        <w:t>.2 Implications for Caregiver Involvement in GBV Contexts</w:t>
      </w:r>
    </w:p>
    <w:p w14:paraId="583C4010" w14:textId="77777777" w:rsidR="003509ED" w:rsidRDefault="00D54235">
      <w:pPr>
        <w:spacing w:before="80" w:after="120" w:line="276" w:lineRule="auto"/>
        <w:jc w:val="both"/>
      </w:pPr>
      <w:r>
        <w:rPr>
          <w:rFonts w:ascii="Arial" w:eastAsia="Arial" w:hAnsi="Arial" w:cs="Arial"/>
          <w:color w:val="1A1A2E"/>
          <w:sz w:val="22"/>
          <w:szCs w:val="22"/>
        </w:rPr>
        <w:lastRenderedPageBreak/>
        <w:t>Across both the treatment literature and the GBV-specific research, the role of the non-offending caregiver emerges as a key moderati</w:t>
      </w:r>
      <w:r>
        <w:rPr>
          <w:rFonts w:ascii="Arial" w:eastAsia="Arial" w:hAnsi="Arial" w:cs="Arial"/>
          <w:color w:val="1A1A2E"/>
          <w:sz w:val="22"/>
          <w:szCs w:val="22"/>
        </w:rPr>
        <w:t>ng variable. The IMPROVE review confirms that parenting interventions — particularly those focused on eliminating corporal punishment and building positive reinforcement — are a standard and evidence-supported component of effective programmes. The long-te</w:t>
      </w:r>
      <w:r>
        <w:rPr>
          <w:rFonts w:ascii="Arial" w:eastAsia="Arial" w:hAnsi="Arial" w:cs="Arial"/>
          <w:color w:val="1A1A2E"/>
          <w:sz w:val="22"/>
          <w:szCs w:val="22"/>
        </w:rPr>
        <w:t>rm TF-CBT evaluation identifies the maintenance of parent-child communication as a critical protective factor post-treatment.</w:t>
      </w:r>
    </w:p>
    <w:p w14:paraId="1A72807A" w14:textId="77777777" w:rsidR="003509ED" w:rsidRDefault="00D54235">
      <w:pPr>
        <w:spacing w:before="80" w:after="120" w:line="276" w:lineRule="auto"/>
        <w:jc w:val="both"/>
      </w:pPr>
      <w:r>
        <w:rPr>
          <w:rFonts w:ascii="Arial" w:eastAsia="Arial" w:hAnsi="Arial" w:cs="Arial"/>
          <w:color w:val="1A1A2E"/>
          <w:sz w:val="22"/>
          <w:szCs w:val="22"/>
        </w:rPr>
        <w:t>In GBV contexts specifically, the non-offending parent is simultaneously a potential resource for the child's recovery and a perso</w:t>
      </w:r>
      <w:r>
        <w:rPr>
          <w:rFonts w:ascii="Arial" w:eastAsia="Arial" w:hAnsi="Arial" w:cs="Arial"/>
          <w:color w:val="1A1A2E"/>
          <w:sz w:val="22"/>
          <w:szCs w:val="22"/>
        </w:rPr>
        <w:t>n who may themselves be carrying significant trauma from their own exposure to violence. This dual role is reflected in the Breaking the Cycle programme's inclusion of a parallel caregiver support strand, grounded in the evidence that caregiver wellbeing a</w:t>
      </w:r>
      <w:r>
        <w:rPr>
          <w:rFonts w:ascii="Arial" w:eastAsia="Arial" w:hAnsi="Arial" w:cs="Arial"/>
          <w:color w:val="1A1A2E"/>
          <w:sz w:val="22"/>
          <w:szCs w:val="22"/>
        </w:rPr>
        <w:t>nd therapeutic engagement are among the strongest predictors of child outcome.</w:t>
      </w:r>
    </w:p>
    <w:p w14:paraId="35B799EB" w14:textId="77777777" w:rsidR="003509ED" w:rsidRDefault="003509ED">
      <w:pPr>
        <w:spacing w:after="120"/>
      </w:pPr>
    </w:p>
    <w:p w14:paraId="5F989ECA" w14:textId="77777777" w:rsidR="003509ED" w:rsidRDefault="00D54235">
      <w:pPr>
        <w:pStyle w:val="Heading1"/>
        <w:pBdr>
          <w:bottom w:val="single" w:sz="6" w:space="6" w:color="1A6B72"/>
        </w:pBdr>
      </w:pPr>
      <w:r>
        <w:t>6. Synthesis: Evidence Pillars Supporting the Theory of Change</w:t>
      </w:r>
    </w:p>
    <w:p w14:paraId="7D10A417" w14:textId="77777777" w:rsidR="003509ED" w:rsidRDefault="00D54235">
      <w:pPr>
        <w:pStyle w:val="Heading2"/>
      </w:pPr>
      <w:r>
        <w:t>Pillar 1: The Problem is Real and Measurable</w:t>
      </w:r>
    </w:p>
    <w:p w14:paraId="3601A6BB" w14:textId="2F4A205C" w:rsidR="003509ED" w:rsidRDefault="00D54235" w:rsidP="00BC151A">
      <w:pPr>
        <w:spacing w:before="80" w:after="120" w:line="276" w:lineRule="auto"/>
        <w:jc w:val="both"/>
      </w:pPr>
      <w:r>
        <w:rPr>
          <w:rFonts w:ascii="Arial" w:eastAsia="Arial" w:hAnsi="Arial" w:cs="Arial"/>
          <w:color w:val="1A1A2E"/>
          <w:sz w:val="22"/>
          <w:szCs w:val="22"/>
        </w:rPr>
        <w:t>Exposure to family violence produces clinically significant and meas</w:t>
      </w:r>
      <w:r>
        <w:rPr>
          <w:rFonts w:ascii="Arial" w:eastAsia="Arial" w:hAnsi="Arial" w:cs="Arial"/>
          <w:color w:val="1A1A2E"/>
          <w:sz w:val="22"/>
          <w:szCs w:val="22"/>
        </w:rPr>
        <w:t xml:space="preserve">urable harm in children — including PTSD, depression, anxiety, and externalising behaviour problems — that does not resolve without intervention and carries a substantial risk of intergenerational transmission (IMPROVE Review; Feel the ViBe Protocol; Holt </w:t>
      </w:r>
      <w:r>
        <w:rPr>
          <w:rFonts w:ascii="Arial" w:eastAsia="Arial" w:hAnsi="Arial" w:cs="Arial"/>
          <w:color w:val="1A1A2E"/>
          <w:sz w:val="22"/>
          <w:szCs w:val="22"/>
        </w:rPr>
        <w:t>et al.).</w:t>
      </w:r>
    </w:p>
    <w:p w14:paraId="786630FE" w14:textId="77777777" w:rsidR="003509ED" w:rsidRDefault="00D54235">
      <w:pPr>
        <w:pStyle w:val="Heading2"/>
      </w:pPr>
      <w:r>
        <w:t>Pillar 2: Direct Engagement with Children is Necessary</w:t>
      </w:r>
    </w:p>
    <w:p w14:paraId="5BD9ECEE" w14:textId="49C847C2" w:rsidR="003509ED" w:rsidRDefault="00D54235" w:rsidP="00BC151A">
      <w:pPr>
        <w:spacing w:before="80" w:after="120" w:line="276" w:lineRule="auto"/>
        <w:jc w:val="both"/>
      </w:pPr>
      <w:r>
        <w:rPr>
          <w:rFonts w:ascii="Arial" w:eastAsia="Arial" w:hAnsi="Arial" w:cs="Arial"/>
          <w:color w:val="1A1A2E"/>
          <w:sz w:val="22"/>
          <w:szCs w:val="22"/>
        </w:rPr>
        <w:t>Interventions that engage only the non-offending parent are insufficient. Children must be directly included in treatment for outcomes to improve. Parent-child dyadic and individual child-foc</w:t>
      </w:r>
      <w:r>
        <w:rPr>
          <w:rFonts w:ascii="Arial" w:eastAsia="Arial" w:hAnsi="Arial" w:cs="Arial"/>
          <w:color w:val="1A1A2E"/>
          <w:sz w:val="22"/>
          <w:szCs w:val="22"/>
        </w:rPr>
        <w:t>used models both outperform parent-only approaches (IMPROVE Review).</w:t>
      </w:r>
    </w:p>
    <w:p w14:paraId="5263459E" w14:textId="77777777" w:rsidR="003509ED" w:rsidRDefault="00D54235">
      <w:pPr>
        <w:pStyle w:val="Heading2"/>
      </w:pPr>
      <w:r>
        <w:t>Pillar 3: CBT is the Most Evidence-Supported Modality</w:t>
      </w:r>
    </w:p>
    <w:p w14:paraId="5C354091" w14:textId="2375AB41" w:rsidR="003509ED" w:rsidRDefault="00D54235" w:rsidP="00BC151A">
      <w:pPr>
        <w:spacing w:before="80" w:after="120" w:line="276" w:lineRule="auto"/>
        <w:jc w:val="both"/>
      </w:pPr>
      <w:r>
        <w:rPr>
          <w:rFonts w:ascii="Arial" w:eastAsia="Arial" w:hAnsi="Arial" w:cs="Arial"/>
          <w:color w:val="1A1A2E"/>
          <w:sz w:val="22"/>
          <w:szCs w:val="22"/>
        </w:rPr>
        <w:t>Trauma-Focused CBT and broader CBT-based programmes have the strongest and most consistent evidence base for reducing PTSD, anxiety, depression, behavioural problems, and violence-related outcomes in children and adolescents exposed to family violence. Spe</w:t>
      </w:r>
      <w:r>
        <w:rPr>
          <w:rFonts w:ascii="Arial" w:eastAsia="Arial" w:hAnsi="Arial" w:cs="Arial"/>
          <w:color w:val="1A1A2E"/>
          <w:sz w:val="22"/>
          <w:szCs w:val="22"/>
        </w:rPr>
        <w:t>cific components — trauma narratives, cognitive restructuring, emotion regulation, safety planning — each have empirical support (IMPROVE Review; Post-Traumatic Stress II; TF-CBT Long-Term Study).</w:t>
      </w:r>
    </w:p>
    <w:p w14:paraId="01FAE381" w14:textId="77777777" w:rsidR="003509ED" w:rsidRDefault="00D54235">
      <w:pPr>
        <w:pStyle w:val="Heading2"/>
      </w:pPr>
      <w:r>
        <w:t>Pillar 4: Effects are Durable</w:t>
      </w:r>
    </w:p>
    <w:p w14:paraId="10F683C3" w14:textId="77777777" w:rsidR="003509ED" w:rsidRDefault="00D54235">
      <w:pPr>
        <w:spacing w:before="80" w:after="120" w:line="276" w:lineRule="auto"/>
        <w:jc w:val="both"/>
      </w:pPr>
      <w:r>
        <w:rPr>
          <w:rFonts w:ascii="Arial" w:eastAsia="Arial" w:hAnsi="Arial" w:cs="Arial"/>
          <w:color w:val="1A1A2E"/>
          <w:sz w:val="22"/>
          <w:szCs w:val="22"/>
        </w:rPr>
        <w:t>Both the TF-CBT long-term ev</w:t>
      </w:r>
      <w:r>
        <w:rPr>
          <w:rFonts w:ascii="Arial" w:eastAsia="Arial" w:hAnsi="Arial" w:cs="Arial"/>
          <w:color w:val="1A1A2E"/>
          <w:sz w:val="22"/>
          <w:szCs w:val="22"/>
        </w:rPr>
        <w:t xml:space="preserve">aluation and the STYL programme demonstrate that effects of structured CBT can persist for years or even decades after the intervention ends. The conditions that support durability — caregiver communication, coherent trauma narrative, absence of continued </w:t>
      </w:r>
      <w:r>
        <w:rPr>
          <w:rFonts w:ascii="Arial" w:eastAsia="Arial" w:hAnsi="Arial" w:cs="Arial"/>
          <w:color w:val="1A1A2E"/>
          <w:sz w:val="22"/>
          <w:szCs w:val="22"/>
        </w:rPr>
        <w:t>abuser contact — are actionable and inform programme design (Holt et al.; Blattman et al., 2017).</w:t>
      </w:r>
    </w:p>
    <w:p w14:paraId="5C2996A6" w14:textId="77777777" w:rsidR="003509ED" w:rsidRDefault="003509ED">
      <w:pPr>
        <w:spacing w:after="80"/>
      </w:pPr>
    </w:p>
    <w:p w14:paraId="428541BC" w14:textId="77777777" w:rsidR="003509ED" w:rsidRDefault="00D54235">
      <w:pPr>
        <w:pStyle w:val="Heading2"/>
      </w:pPr>
      <w:r>
        <w:lastRenderedPageBreak/>
        <w:t>Pillar 5: The Approach is Cost-Effective and Scalable</w:t>
      </w:r>
    </w:p>
    <w:p w14:paraId="0D37A490" w14:textId="77777777" w:rsidR="003509ED" w:rsidRDefault="00D54235">
      <w:pPr>
        <w:spacing w:before="80" w:after="120" w:line="276" w:lineRule="auto"/>
        <w:jc w:val="both"/>
      </w:pPr>
      <w:r>
        <w:rPr>
          <w:rFonts w:ascii="Arial" w:eastAsia="Arial" w:hAnsi="Arial" w:cs="Arial"/>
          <w:color w:val="1A1A2E"/>
          <w:sz w:val="22"/>
          <w:szCs w:val="22"/>
        </w:rPr>
        <w:t>The BAM programme evaluation provides strong evidence that structured group CBT is cost-effective at sc</w:t>
      </w:r>
      <w:r>
        <w:rPr>
          <w:rFonts w:ascii="Arial" w:eastAsia="Arial" w:hAnsi="Arial" w:cs="Arial"/>
          <w:color w:val="1A1A2E"/>
          <w:sz w:val="22"/>
          <w:szCs w:val="22"/>
        </w:rPr>
        <w:t xml:space="preserve">ale, with societal returns estimated at five to thirty times programme costs. The WHO's PM+ model demonstrates that brief, structured psychotherapy can be adapted for low-resource settings and remain effective with GBV-affected populations (Heller et al., </w:t>
      </w:r>
      <w:r>
        <w:rPr>
          <w:rFonts w:ascii="Arial" w:eastAsia="Arial" w:hAnsi="Arial" w:cs="Arial"/>
          <w:color w:val="1A1A2E"/>
          <w:sz w:val="22"/>
          <w:szCs w:val="22"/>
        </w:rPr>
        <w:t>2017; Haushofer et al., 2023).</w:t>
      </w:r>
    </w:p>
    <w:p w14:paraId="2AB0E4EE" w14:textId="77777777" w:rsidR="003509ED" w:rsidRDefault="003509ED">
      <w:pPr>
        <w:spacing w:after="120"/>
      </w:pPr>
    </w:p>
    <w:p w14:paraId="5F4B5646" w14:textId="77777777" w:rsidR="003509ED" w:rsidRDefault="00D54235">
      <w:pPr>
        <w:pStyle w:val="Heading1"/>
        <w:pBdr>
          <w:bottom w:val="single" w:sz="6" w:space="6" w:color="1A6B72"/>
        </w:pBdr>
      </w:pPr>
      <w:r>
        <w:t>7. References</w:t>
      </w:r>
    </w:p>
    <w:p w14:paraId="2EBD39DA" w14:textId="2C612355" w:rsidR="003E5345" w:rsidRPr="002A1415" w:rsidRDefault="002A1415" w:rsidP="002A1415">
      <w:pPr>
        <w:spacing w:before="80" w:after="120" w:line="276" w:lineRule="auto"/>
        <w:jc w:val="both"/>
        <w:rPr>
          <w:rFonts w:ascii="Arial" w:eastAsia="Arial" w:hAnsi="Arial" w:cs="Arial"/>
          <w:color w:val="1A1A2E"/>
          <w:sz w:val="22"/>
          <w:szCs w:val="22"/>
        </w:rPr>
      </w:pPr>
      <w:r w:rsidRPr="002A1415">
        <w:rPr>
          <w:rFonts w:ascii="Arial" w:eastAsia="Arial" w:hAnsi="Arial" w:cs="Arial"/>
          <w:color w:val="1A1A2E"/>
          <w:sz w:val="22"/>
          <w:szCs w:val="22"/>
        </w:rPr>
        <w:t>Blattman, C., Jamison, J., &amp; Sheridan, M. (2017). Reducing crime and violence: Experimental evidence from cognitive behavioral therapy in Liberia. American Economic Review, 107(4), 1165–1206.</w:t>
      </w:r>
    </w:p>
    <w:p w14:paraId="6AE26DB0" w14:textId="77777777" w:rsidR="002A1415" w:rsidRPr="002A1415" w:rsidRDefault="002A1415" w:rsidP="002A1415">
      <w:pPr>
        <w:spacing w:before="80" w:after="120" w:line="276" w:lineRule="auto"/>
        <w:jc w:val="both"/>
        <w:rPr>
          <w:rFonts w:ascii="Arial" w:eastAsia="Arial" w:hAnsi="Arial" w:cs="Arial"/>
          <w:color w:val="1A1A2E"/>
          <w:sz w:val="22"/>
          <w:szCs w:val="22"/>
        </w:rPr>
      </w:pPr>
      <w:r w:rsidRPr="002A1415">
        <w:rPr>
          <w:rFonts w:ascii="Arial" w:eastAsia="Arial" w:hAnsi="Arial" w:cs="Arial"/>
          <w:color w:val="1A1A2E"/>
          <w:sz w:val="22"/>
          <w:szCs w:val="22"/>
        </w:rPr>
        <w:t>Bryant, R. A., et al. (2017). Effectiveness of a brief behavioural intervention on psychological distress among women with a history of gender-based violence in urban Kenya. PLoS Medicine, 14(8).</w:t>
      </w:r>
    </w:p>
    <w:p w14:paraId="0B96F10D" w14:textId="77777777" w:rsidR="002A1415" w:rsidRPr="002A1415" w:rsidRDefault="002A1415" w:rsidP="002A1415">
      <w:pPr>
        <w:spacing w:before="80" w:after="120" w:line="276" w:lineRule="auto"/>
        <w:jc w:val="both"/>
        <w:rPr>
          <w:rFonts w:ascii="Arial" w:eastAsia="Arial" w:hAnsi="Arial" w:cs="Arial"/>
          <w:color w:val="1A1A2E"/>
          <w:sz w:val="22"/>
          <w:szCs w:val="22"/>
        </w:rPr>
      </w:pPr>
      <w:r w:rsidRPr="002A1415">
        <w:rPr>
          <w:rFonts w:ascii="Arial" w:eastAsia="Arial" w:hAnsi="Arial" w:cs="Arial"/>
          <w:color w:val="1A1A2E"/>
          <w:sz w:val="22"/>
          <w:szCs w:val="22"/>
        </w:rPr>
        <w:t>Cohen, J. A., Mannarino, A. P., &amp; Deblinger, E. (2006). Treating trauma and traumatic grief in children and adolescents. Guilford Press.</w:t>
      </w:r>
    </w:p>
    <w:p w14:paraId="38AA39CB" w14:textId="77777777" w:rsidR="002A1415" w:rsidRPr="002A1415" w:rsidRDefault="002A1415" w:rsidP="002A1415">
      <w:pPr>
        <w:spacing w:before="80" w:after="120" w:line="276" w:lineRule="auto"/>
        <w:jc w:val="both"/>
        <w:rPr>
          <w:rFonts w:ascii="Arial" w:eastAsia="Arial" w:hAnsi="Arial" w:cs="Arial"/>
          <w:color w:val="1A1A2E"/>
          <w:sz w:val="22"/>
          <w:szCs w:val="22"/>
        </w:rPr>
      </w:pPr>
      <w:r w:rsidRPr="002A1415">
        <w:rPr>
          <w:rFonts w:ascii="Arial" w:eastAsia="Arial" w:hAnsi="Arial" w:cs="Arial"/>
          <w:color w:val="1A1A2E"/>
          <w:sz w:val="22"/>
          <w:szCs w:val="22"/>
        </w:rPr>
        <w:t>Graham-Bermann, S. A., Lynch, S., Banyard, V., DeVoe, E. R., &amp; Halabu, H. (2007). Community-based intervention for children exposed to intimate partner violence: An efficacy trial. Journal of Consulting and Clinical Psychology, 75(2), 199–209.</w:t>
      </w:r>
    </w:p>
    <w:p w14:paraId="7577F1D1" w14:textId="77777777" w:rsidR="002A1415" w:rsidRPr="002A1415" w:rsidRDefault="002A1415" w:rsidP="002A1415">
      <w:pPr>
        <w:spacing w:before="80" w:after="120" w:line="276" w:lineRule="auto"/>
        <w:jc w:val="both"/>
        <w:rPr>
          <w:rFonts w:ascii="Arial" w:eastAsia="Arial" w:hAnsi="Arial" w:cs="Arial"/>
          <w:color w:val="1A1A2E"/>
          <w:sz w:val="22"/>
          <w:szCs w:val="22"/>
        </w:rPr>
      </w:pPr>
      <w:r w:rsidRPr="002A1415">
        <w:rPr>
          <w:rFonts w:ascii="Arial" w:eastAsia="Arial" w:hAnsi="Arial" w:cs="Arial"/>
          <w:color w:val="1A1A2E"/>
          <w:sz w:val="22"/>
          <w:szCs w:val="22"/>
        </w:rPr>
        <w:t>Haushofer, J., Mudida, R., &amp; Shapiro, J. (2023). The comparative impact of cash transfers and a psychotherapy program on psychological and economic well-being [Working paper].</w:t>
      </w:r>
    </w:p>
    <w:p w14:paraId="1584CD4C" w14:textId="77777777" w:rsidR="002A1415" w:rsidRPr="002A1415" w:rsidRDefault="002A1415" w:rsidP="002A1415">
      <w:pPr>
        <w:spacing w:before="80" w:after="120" w:line="276" w:lineRule="auto"/>
        <w:jc w:val="both"/>
        <w:rPr>
          <w:rFonts w:ascii="Arial" w:eastAsia="Arial" w:hAnsi="Arial" w:cs="Arial"/>
          <w:color w:val="1A1A2E"/>
          <w:sz w:val="22"/>
          <w:szCs w:val="22"/>
        </w:rPr>
      </w:pPr>
      <w:r w:rsidRPr="002A1415">
        <w:rPr>
          <w:rFonts w:ascii="Arial" w:eastAsia="Arial" w:hAnsi="Arial" w:cs="Arial"/>
          <w:color w:val="1A1A2E"/>
          <w:sz w:val="22"/>
          <w:szCs w:val="22"/>
        </w:rPr>
        <w:t>Heller, S. B., et al. (2017). Thinking, fast and slow? Some field experiments to reduce crime and dropout in Chicago. The Quarterly Journal of Economics, 132(1), 1–54.</w:t>
      </w:r>
    </w:p>
    <w:p w14:paraId="22C4A584" w14:textId="77777777" w:rsidR="002A1415" w:rsidRPr="002A1415" w:rsidRDefault="002A1415" w:rsidP="002A1415">
      <w:pPr>
        <w:spacing w:before="80" w:after="120" w:line="276" w:lineRule="auto"/>
        <w:jc w:val="both"/>
        <w:rPr>
          <w:rFonts w:ascii="Arial" w:eastAsia="Arial" w:hAnsi="Arial" w:cs="Arial"/>
          <w:color w:val="1A1A2E"/>
          <w:sz w:val="22"/>
          <w:szCs w:val="22"/>
        </w:rPr>
      </w:pPr>
      <w:r w:rsidRPr="002A1415">
        <w:rPr>
          <w:rFonts w:ascii="Arial" w:eastAsia="Arial" w:hAnsi="Arial" w:cs="Arial"/>
          <w:color w:val="1A1A2E"/>
          <w:sz w:val="22"/>
          <w:szCs w:val="22"/>
        </w:rPr>
        <w:t>Holt, S., Buckley, H., &amp; Whelan, S. (2008). The impact of exposure to domestic violence on children and young people: A review of the literature. Child Abuse &amp; Neglect, 32(8), 797–810.</w:t>
      </w:r>
    </w:p>
    <w:p w14:paraId="6D0E88AD" w14:textId="77777777" w:rsidR="002A1415" w:rsidRPr="002A1415" w:rsidRDefault="002A1415" w:rsidP="002A1415">
      <w:pPr>
        <w:spacing w:before="80" w:after="120" w:line="276" w:lineRule="auto"/>
        <w:jc w:val="both"/>
        <w:rPr>
          <w:rFonts w:ascii="Arial" w:eastAsia="Arial" w:hAnsi="Arial" w:cs="Arial"/>
          <w:color w:val="1A1A2E"/>
          <w:sz w:val="22"/>
          <w:szCs w:val="22"/>
        </w:rPr>
      </w:pPr>
      <w:r w:rsidRPr="002A1415">
        <w:rPr>
          <w:rFonts w:ascii="Arial" w:eastAsia="Arial" w:hAnsi="Arial" w:cs="Arial"/>
          <w:color w:val="1A1A2E"/>
          <w:sz w:val="22"/>
          <w:szCs w:val="22"/>
        </w:rPr>
        <w:t>Howarth, E., Moore, T. H. M., Welton, N. J., et al. (2016). IMPRoving outcomes for children exposed to domestic violence (IMPROVE): An evidence synthesis. NIHR Journals Library.</w:t>
      </w:r>
    </w:p>
    <w:p w14:paraId="619E38E0" w14:textId="77777777" w:rsidR="002A1415" w:rsidRPr="002A1415" w:rsidRDefault="002A1415" w:rsidP="002A1415">
      <w:pPr>
        <w:spacing w:before="80" w:after="120" w:line="276" w:lineRule="auto"/>
        <w:jc w:val="both"/>
        <w:rPr>
          <w:rFonts w:ascii="Arial" w:eastAsia="Arial" w:hAnsi="Arial" w:cs="Arial"/>
          <w:color w:val="1A1A2E"/>
          <w:sz w:val="22"/>
          <w:szCs w:val="22"/>
        </w:rPr>
      </w:pPr>
      <w:r w:rsidRPr="002A1415">
        <w:rPr>
          <w:rFonts w:ascii="Arial" w:eastAsia="Arial" w:hAnsi="Arial" w:cs="Arial"/>
          <w:color w:val="1A1A2E"/>
          <w:sz w:val="22"/>
          <w:szCs w:val="22"/>
        </w:rPr>
        <w:t>Onsjö, M., Axberg, U., Hultmann, O., &amp; Strand, J. (2026). A mixed-methods evaluation of long-term outcomes after trauma-focused cognitive behavioural therapy for children subjected to family violence. Psychotherapy Research, 36(2), 324–338.</w:t>
      </w:r>
    </w:p>
    <w:p w14:paraId="0DF8D619" w14:textId="77777777" w:rsidR="002A1415" w:rsidRPr="002A1415" w:rsidRDefault="002A1415" w:rsidP="002A1415">
      <w:pPr>
        <w:spacing w:before="80" w:after="120" w:line="276" w:lineRule="auto"/>
        <w:jc w:val="both"/>
        <w:rPr>
          <w:rFonts w:ascii="Arial" w:eastAsia="Arial" w:hAnsi="Arial" w:cs="Arial"/>
          <w:color w:val="1A1A2E"/>
          <w:sz w:val="22"/>
          <w:szCs w:val="22"/>
        </w:rPr>
      </w:pPr>
      <w:r w:rsidRPr="002A1415">
        <w:rPr>
          <w:rFonts w:ascii="Arial" w:eastAsia="Arial" w:hAnsi="Arial" w:cs="Arial"/>
          <w:color w:val="1A1A2E"/>
          <w:sz w:val="22"/>
          <w:szCs w:val="22"/>
        </w:rPr>
        <w:t xml:space="preserve">van Rosmalen-Nooijens, K. A. W. L., Prins, J. B., Vergeer, M., Wong, S. H., &amp; Lagro-Janssen, A. L. (2013). "Young people, adult worries": RCT of an internet-based self-support method "Feel the ViBe" for children, adolescents and young adults exposed to family violence, a study protocol. BMC Public Health, 13, Article 226. </w:t>
      </w:r>
      <w:hyperlink r:id="rId7" w:history="1">
        <w:r w:rsidRPr="002A1415">
          <w:rPr>
            <w:rFonts w:ascii="Arial" w:eastAsia="Arial" w:hAnsi="Arial" w:cs="Arial"/>
            <w:color w:val="1A1A2E"/>
            <w:sz w:val="22"/>
            <w:szCs w:val="22"/>
          </w:rPr>
          <w:t>https://doi.org/10.1186/1471-2458-13-226</w:t>
        </w:r>
      </w:hyperlink>
    </w:p>
    <w:p w14:paraId="1E3A4611" w14:textId="77777777" w:rsidR="002A1415" w:rsidRPr="002A1415" w:rsidRDefault="002A1415" w:rsidP="002A1415">
      <w:pPr>
        <w:spacing w:before="80" w:after="120" w:line="276" w:lineRule="auto"/>
        <w:jc w:val="both"/>
        <w:rPr>
          <w:rFonts w:ascii="Arial" w:eastAsia="Arial" w:hAnsi="Arial" w:cs="Arial"/>
          <w:color w:val="1A1A2E"/>
          <w:sz w:val="22"/>
          <w:szCs w:val="22"/>
        </w:rPr>
      </w:pPr>
      <w:r w:rsidRPr="002A1415">
        <w:rPr>
          <w:rFonts w:ascii="Arial" w:eastAsia="Arial" w:hAnsi="Arial" w:cs="Arial"/>
          <w:color w:val="1A1A2E"/>
          <w:sz w:val="22"/>
          <w:szCs w:val="22"/>
        </w:rPr>
        <w:t>Vickerman, K. A., &amp; Margolin, G. (2007). Post-traumatic stress in children and adolescents exposed to family violence: II. Treatment. Professional Psychology: Research and Practice, 38(6), 620–628.</w:t>
      </w:r>
    </w:p>
    <w:p w14:paraId="2766AD25" w14:textId="2B456C2B" w:rsidR="003509ED" w:rsidRDefault="003509ED" w:rsidP="00BC151A">
      <w:pPr>
        <w:spacing w:before="80" w:after="120" w:line="276" w:lineRule="auto"/>
        <w:jc w:val="both"/>
      </w:pPr>
    </w:p>
    <w:sectPr w:rsidR="003509ED">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A0B4CF" w14:textId="77777777" w:rsidR="00D54235" w:rsidRDefault="00D54235">
      <w:r>
        <w:separator/>
      </w:r>
    </w:p>
  </w:endnote>
  <w:endnote w:type="continuationSeparator" w:id="0">
    <w:p w14:paraId="61642AC7" w14:textId="77777777" w:rsidR="00D54235" w:rsidRDefault="00D542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985731" w14:textId="77777777" w:rsidR="003509ED" w:rsidRDefault="00D54235">
    <w:pPr>
      <w:jc w:val="center"/>
    </w:pPr>
    <w:r>
      <w:rPr>
        <w:rFonts w:ascii="Arial" w:eastAsia="Arial" w:hAnsi="Arial" w:cs="Arial"/>
        <w:color w:val="555555"/>
        <w:sz w:val="18"/>
        <w:szCs w:val="18"/>
      </w:rPr>
      <w:t xml:space="preserve">Breaking the Cycle — Evidence Base | Page </w:t>
    </w:r>
    <w:r>
      <w:rPr>
        <w:color w:val="555555"/>
        <w:sz w:val="18"/>
        <w:szCs w:val="18"/>
      </w:rPr>
      <w:fldChar w:fldCharType="begin"/>
    </w:r>
    <w:r>
      <w:rPr>
        <w:rFonts w:ascii="Arial" w:eastAsia="Arial" w:hAnsi="Arial" w:cs="Arial"/>
        <w:color w:val="555555"/>
        <w:sz w:val="18"/>
        <w:szCs w:val="18"/>
      </w:rPr>
      <w:instrText>PAGE</w:instrText>
    </w:r>
    <w:r>
      <w:rPr>
        <w:color w:val="555555"/>
        <w:sz w:val="18"/>
        <w:szCs w:val="18"/>
      </w:rPr>
      <w:fldChar w:fldCharType="separate"/>
    </w:r>
    <w:r w:rsidR="00DA7167">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9B4407" w14:textId="77777777" w:rsidR="00D54235" w:rsidRDefault="00D54235">
      <w:r>
        <w:separator/>
      </w:r>
    </w:p>
  </w:footnote>
  <w:footnote w:type="continuationSeparator" w:id="0">
    <w:p w14:paraId="059645B3" w14:textId="77777777" w:rsidR="00D54235" w:rsidRDefault="00D542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6C6DE7"/>
    <w:multiLevelType w:val="hybridMultilevel"/>
    <w:tmpl w:val="1D8E321E"/>
    <w:lvl w:ilvl="0" w:tplc="00E48A8A">
      <w:start w:val="1"/>
      <w:numFmt w:val="bullet"/>
      <w:lvlText w:val="●"/>
      <w:lvlJc w:val="left"/>
      <w:pPr>
        <w:ind w:left="720" w:hanging="360"/>
      </w:pPr>
    </w:lvl>
    <w:lvl w:ilvl="1" w:tplc="744029E2">
      <w:start w:val="1"/>
      <w:numFmt w:val="bullet"/>
      <w:lvlText w:val="○"/>
      <w:lvlJc w:val="left"/>
      <w:pPr>
        <w:ind w:left="1440" w:hanging="360"/>
      </w:pPr>
    </w:lvl>
    <w:lvl w:ilvl="2" w:tplc="362EF740">
      <w:start w:val="1"/>
      <w:numFmt w:val="bullet"/>
      <w:lvlText w:val="■"/>
      <w:lvlJc w:val="left"/>
      <w:pPr>
        <w:ind w:left="2160" w:hanging="360"/>
      </w:pPr>
    </w:lvl>
    <w:lvl w:ilvl="3" w:tplc="13924722">
      <w:start w:val="1"/>
      <w:numFmt w:val="bullet"/>
      <w:lvlText w:val="●"/>
      <w:lvlJc w:val="left"/>
      <w:pPr>
        <w:ind w:left="2880" w:hanging="360"/>
      </w:pPr>
    </w:lvl>
    <w:lvl w:ilvl="4" w:tplc="3EA006F6">
      <w:start w:val="1"/>
      <w:numFmt w:val="bullet"/>
      <w:lvlText w:val="○"/>
      <w:lvlJc w:val="left"/>
      <w:pPr>
        <w:ind w:left="3600" w:hanging="360"/>
      </w:pPr>
    </w:lvl>
    <w:lvl w:ilvl="5" w:tplc="5F14DF92">
      <w:start w:val="1"/>
      <w:numFmt w:val="bullet"/>
      <w:lvlText w:val="■"/>
      <w:lvlJc w:val="left"/>
      <w:pPr>
        <w:ind w:left="4320" w:hanging="360"/>
      </w:pPr>
    </w:lvl>
    <w:lvl w:ilvl="6" w:tplc="A6CEBB76">
      <w:start w:val="1"/>
      <w:numFmt w:val="bullet"/>
      <w:lvlText w:val="●"/>
      <w:lvlJc w:val="left"/>
      <w:pPr>
        <w:ind w:left="5040" w:hanging="360"/>
      </w:pPr>
    </w:lvl>
    <w:lvl w:ilvl="7" w:tplc="4344D920">
      <w:start w:val="1"/>
      <w:numFmt w:val="bullet"/>
      <w:lvlText w:val="●"/>
      <w:lvlJc w:val="left"/>
      <w:pPr>
        <w:ind w:left="5760" w:hanging="360"/>
      </w:pPr>
    </w:lvl>
    <w:lvl w:ilvl="8" w:tplc="51000756">
      <w:start w:val="1"/>
      <w:numFmt w:val="bullet"/>
      <w:lvlText w:val="●"/>
      <w:lvlJc w:val="left"/>
      <w:pPr>
        <w:ind w:left="6480" w:hanging="360"/>
      </w:pPr>
    </w:lvl>
  </w:abstractNum>
  <w:abstractNum w:abstractNumId="1" w15:restartNumberingAfterBreak="0">
    <w:nsid w:val="6C442B00"/>
    <w:multiLevelType w:val="hybridMultilevel"/>
    <w:tmpl w:val="C1125082"/>
    <w:lvl w:ilvl="0" w:tplc="F4F026BA">
      <w:start w:val="1"/>
      <w:numFmt w:val="bullet"/>
      <w:lvlText w:val="•"/>
      <w:lvlJc w:val="left"/>
      <w:pPr>
        <w:ind w:left="720" w:hanging="360"/>
      </w:pPr>
    </w:lvl>
    <w:lvl w:ilvl="1" w:tplc="1E6C6C7A">
      <w:numFmt w:val="decimal"/>
      <w:lvlText w:val=""/>
      <w:lvlJc w:val="left"/>
    </w:lvl>
    <w:lvl w:ilvl="2" w:tplc="FE1E715C">
      <w:numFmt w:val="decimal"/>
      <w:lvlText w:val=""/>
      <w:lvlJc w:val="left"/>
    </w:lvl>
    <w:lvl w:ilvl="3" w:tplc="2F1CBED6">
      <w:numFmt w:val="decimal"/>
      <w:lvlText w:val=""/>
      <w:lvlJc w:val="left"/>
    </w:lvl>
    <w:lvl w:ilvl="4" w:tplc="A3207EAE">
      <w:numFmt w:val="decimal"/>
      <w:lvlText w:val=""/>
      <w:lvlJc w:val="left"/>
    </w:lvl>
    <w:lvl w:ilvl="5" w:tplc="4E8CD3EC">
      <w:numFmt w:val="decimal"/>
      <w:lvlText w:val=""/>
      <w:lvlJc w:val="left"/>
    </w:lvl>
    <w:lvl w:ilvl="6" w:tplc="9502EB20">
      <w:numFmt w:val="decimal"/>
      <w:lvlText w:val=""/>
      <w:lvlJc w:val="left"/>
    </w:lvl>
    <w:lvl w:ilvl="7" w:tplc="EC6A674E">
      <w:numFmt w:val="decimal"/>
      <w:lvlText w:val=""/>
      <w:lvlJc w:val="left"/>
    </w:lvl>
    <w:lvl w:ilvl="8" w:tplc="7916D3B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09ED"/>
    <w:rsid w:val="002A1415"/>
    <w:rsid w:val="003509ED"/>
    <w:rsid w:val="003E5345"/>
    <w:rsid w:val="004558CC"/>
    <w:rsid w:val="006B4238"/>
    <w:rsid w:val="006C00E5"/>
    <w:rsid w:val="00BC151A"/>
    <w:rsid w:val="00D244C4"/>
    <w:rsid w:val="00D54235"/>
    <w:rsid w:val="00DA7167"/>
    <w:rsid w:val="00DD61BB"/>
    <w:rsid w:val="00F52766"/>
    <w:rsid w:val="00FA20BF"/>
  </w:rsids>
  <m:mathPr>
    <m:mathFont m:val="Cambria Math"/>
    <m:brkBin m:val="before"/>
    <m:brkBinSub m:val="--"/>
    <m:smallFrac m:val="0"/>
    <m:dispDef/>
    <m:lMargin m:val="0"/>
    <m:rMargin m:val="0"/>
    <m:defJc m:val="centerGroup"/>
    <m:wrapIndent m:val="1440"/>
    <m:intLim m:val="subSup"/>
    <m:naryLim m:val="undOvr"/>
  </m:mathPr>
  <w:themeFontLang w:val="en-KR"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E04C4"/>
  <w15:docId w15:val="{3ADDA389-91AC-9643-A200-78F4ED388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KR"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1415"/>
    <w:rPr>
      <w:rFonts w:ascii="Times New Roman" w:eastAsia="Times New Roman" w:hAnsi="Times New Roman" w:cs="Times New Roman"/>
      <w:sz w:val="24"/>
      <w:szCs w:val="24"/>
    </w:rPr>
  </w:style>
  <w:style w:type="paragraph" w:styleId="Heading1">
    <w:name w:val="heading 1"/>
    <w:uiPriority w:val="9"/>
    <w:qFormat/>
    <w:pPr>
      <w:spacing w:before="360" w:after="160"/>
      <w:outlineLvl w:val="0"/>
    </w:pPr>
    <w:rPr>
      <w:b/>
      <w:bCs/>
      <w:color w:val="1A6B72"/>
      <w:sz w:val="28"/>
      <w:szCs w:val="28"/>
    </w:rPr>
  </w:style>
  <w:style w:type="paragraph" w:styleId="Heading2">
    <w:name w:val="heading 2"/>
    <w:uiPriority w:val="9"/>
    <w:unhideWhenUsed/>
    <w:qFormat/>
    <w:pPr>
      <w:spacing w:before="280" w:after="120"/>
      <w:outlineLvl w:val="1"/>
    </w:pPr>
    <w:rPr>
      <w:b/>
      <w:bCs/>
      <w:color w:val="1A1A2E"/>
      <w:sz w:val="24"/>
      <w:szCs w:val="24"/>
    </w:rPr>
  </w:style>
  <w:style w:type="paragraph" w:styleId="Heading3">
    <w:name w:val="heading 3"/>
    <w:uiPriority w:val="9"/>
    <w:unhideWhenUsed/>
    <w:qFormat/>
    <w:pPr>
      <w:spacing w:before="200" w:after="80"/>
      <w:outlineLvl w:val="2"/>
    </w:pPr>
    <w:rPr>
      <w:b/>
      <w:bCs/>
      <w:color w:val="1A6B7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4558CC"/>
    <w:rPr>
      <w:color w:val="605E5C"/>
      <w:shd w:val="clear" w:color="auto" w:fill="E1DFDD"/>
    </w:rPr>
  </w:style>
  <w:style w:type="character" w:styleId="Emphasis">
    <w:name w:val="Emphasis"/>
    <w:basedOn w:val="DefaultParagraphFont"/>
    <w:uiPriority w:val="20"/>
    <w:qFormat/>
    <w:rsid w:val="004558CC"/>
    <w:rPr>
      <w:i/>
      <w:iCs/>
    </w:rPr>
  </w:style>
  <w:style w:type="paragraph" w:customStyle="1" w:styleId="font-claude-response-body">
    <w:name w:val="font-claude-response-body"/>
    <w:basedOn w:val="Normal"/>
    <w:rsid w:val="004558CC"/>
    <w:pPr>
      <w:spacing w:before="100" w:beforeAutospacing="1" w:after="100" w:afterAutospacing="1"/>
    </w:pPr>
  </w:style>
  <w:style w:type="paragraph" w:styleId="NormalWeb">
    <w:name w:val="Normal (Web)"/>
    <w:basedOn w:val="Normal"/>
    <w:uiPriority w:val="99"/>
    <w:unhideWhenUsed/>
    <w:rsid w:val="004558CC"/>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082469">
      <w:bodyDiv w:val="1"/>
      <w:marLeft w:val="0"/>
      <w:marRight w:val="0"/>
      <w:marTop w:val="0"/>
      <w:marBottom w:val="0"/>
      <w:divBdr>
        <w:top w:val="none" w:sz="0" w:space="0" w:color="auto"/>
        <w:left w:val="none" w:sz="0" w:space="0" w:color="auto"/>
        <w:bottom w:val="none" w:sz="0" w:space="0" w:color="auto"/>
        <w:right w:val="none" w:sz="0" w:space="0" w:color="auto"/>
      </w:divBdr>
    </w:div>
    <w:div w:id="790586394">
      <w:bodyDiv w:val="1"/>
      <w:marLeft w:val="0"/>
      <w:marRight w:val="0"/>
      <w:marTop w:val="0"/>
      <w:marBottom w:val="0"/>
      <w:divBdr>
        <w:top w:val="none" w:sz="0" w:space="0" w:color="auto"/>
        <w:left w:val="none" w:sz="0" w:space="0" w:color="auto"/>
        <w:bottom w:val="none" w:sz="0" w:space="0" w:color="auto"/>
        <w:right w:val="none" w:sz="0" w:space="0" w:color="auto"/>
      </w:divBdr>
    </w:div>
    <w:div w:id="1005009810">
      <w:bodyDiv w:val="1"/>
      <w:marLeft w:val="0"/>
      <w:marRight w:val="0"/>
      <w:marTop w:val="0"/>
      <w:marBottom w:val="0"/>
      <w:divBdr>
        <w:top w:val="none" w:sz="0" w:space="0" w:color="auto"/>
        <w:left w:val="none" w:sz="0" w:space="0" w:color="auto"/>
        <w:bottom w:val="none" w:sz="0" w:space="0" w:color="auto"/>
        <w:right w:val="none" w:sz="0" w:space="0" w:color="auto"/>
      </w:divBdr>
    </w:div>
    <w:div w:id="1232740730">
      <w:bodyDiv w:val="1"/>
      <w:marLeft w:val="0"/>
      <w:marRight w:val="0"/>
      <w:marTop w:val="0"/>
      <w:marBottom w:val="0"/>
      <w:divBdr>
        <w:top w:val="none" w:sz="0" w:space="0" w:color="auto"/>
        <w:left w:val="none" w:sz="0" w:space="0" w:color="auto"/>
        <w:bottom w:val="none" w:sz="0" w:space="0" w:color="auto"/>
        <w:right w:val="none" w:sz="0" w:space="0" w:color="auto"/>
      </w:divBdr>
    </w:div>
    <w:div w:id="14323163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doi.org/10.1186/1471-2458-13-22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9</Pages>
  <Words>2746</Words>
  <Characters>15653</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Mati Bekuma Terefe</cp:lastModifiedBy>
  <cp:revision>13</cp:revision>
  <dcterms:created xsi:type="dcterms:W3CDTF">2026-05-14T21:51:00Z</dcterms:created>
  <dcterms:modified xsi:type="dcterms:W3CDTF">2026-05-15T23:26:00Z</dcterms:modified>
</cp:coreProperties>
</file>