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6E4F1" w14:textId="77777777" w:rsidR="00E415D5" w:rsidRDefault="00B114B8">
      <w:pPr>
        <w:spacing w:after="60"/>
      </w:pPr>
      <w:r>
        <w:rPr>
          <w:rFonts w:ascii="Arial" w:eastAsia="Arial" w:hAnsi="Arial" w:cs="Arial"/>
          <w:b/>
          <w:bCs/>
          <w:caps/>
          <w:color w:val="1A6B72"/>
          <w:sz w:val="20"/>
          <w:szCs w:val="20"/>
        </w:rPr>
        <w:t>PROGRAMMATIC THEORY OF CHANGE</w:t>
      </w:r>
    </w:p>
    <w:p w14:paraId="2609EE3C" w14:textId="77777777" w:rsidR="00E415D5" w:rsidRDefault="00B114B8">
      <w:pPr>
        <w:pBdr>
          <w:bottom w:val="single" w:sz="4" w:space="8" w:color="1A6B72"/>
        </w:pBdr>
        <w:spacing w:after="60"/>
      </w:pPr>
      <w:r>
        <w:rPr>
          <w:rFonts w:ascii="Arial" w:eastAsia="Arial" w:hAnsi="Arial" w:cs="Arial"/>
          <w:b/>
          <w:bCs/>
          <w:color w:val="1A1A2E"/>
          <w:sz w:val="34"/>
          <w:szCs w:val="34"/>
        </w:rPr>
        <w:t>Breaking the Cycle: CBT for Children in GBV-Affected Households</w:t>
      </w:r>
    </w:p>
    <w:p w14:paraId="660530DD" w14:textId="551BFDA1" w:rsidR="00E415D5" w:rsidRDefault="00B114B8">
      <w:pPr>
        <w:spacing w:before="120"/>
        <w:rPr>
          <w:rFonts w:ascii="Arial" w:eastAsia="Arial" w:hAnsi="Arial" w:cs="Arial"/>
          <w:i/>
          <w:iCs/>
          <w:color w:val="555555"/>
          <w:sz w:val="21"/>
          <w:szCs w:val="21"/>
        </w:rPr>
      </w:pPr>
      <w:r>
        <w:rPr>
          <w:rFonts w:ascii="Arial" w:eastAsia="Arial" w:hAnsi="Arial" w:cs="Arial"/>
          <w:i/>
          <w:iCs/>
          <w:color w:val="555555"/>
          <w:sz w:val="21"/>
          <w:szCs w:val="21"/>
        </w:rPr>
        <w:t>Programme design document — working draft for expert review</w:t>
      </w:r>
    </w:p>
    <w:p w14:paraId="7030698C" w14:textId="0FF4E31D" w:rsidR="00E415D5" w:rsidRPr="003139B0" w:rsidRDefault="003139B0" w:rsidP="003139B0">
      <w:pPr>
        <w:spacing w:before="120"/>
        <w:rPr>
          <w:lang w:val="en-US"/>
        </w:rPr>
      </w:pPr>
      <w:r>
        <w:rPr>
          <w:rFonts w:ascii="Arial" w:eastAsia="Arial" w:hAnsi="Arial" w:cs="Arial"/>
          <w:i/>
          <w:iCs/>
          <w:color w:val="555555"/>
          <w:sz w:val="21"/>
          <w:szCs w:val="21"/>
          <w:lang w:val="en-US"/>
        </w:rPr>
        <w:t xml:space="preserve">Prepared by </w:t>
      </w:r>
      <w:proofErr w:type="spellStart"/>
      <w:r>
        <w:rPr>
          <w:rFonts w:ascii="Arial" w:eastAsia="Arial" w:hAnsi="Arial" w:cs="Arial"/>
          <w:i/>
          <w:iCs/>
          <w:color w:val="555555"/>
          <w:sz w:val="21"/>
          <w:szCs w:val="21"/>
          <w:lang w:val="en-US"/>
        </w:rPr>
        <w:t>Sungeun</w:t>
      </w:r>
      <w:proofErr w:type="spellEnd"/>
      <w:r>
        <w:rPr>
          <w:rFonts w:ascii="Arial" w:eastAsia="Arial" w:hAnsi="Arial" w:cs="Arial"/>
          <w:i/>
          <w:iCs/>
          <w:color w:val="555555"/>
          <w:sz w:val="21"/>
          <w:szCs w:val="21"/>
          <w:lang w:val="en-US"/>
        </w:rPr>
        <w:t xml:space="preserve"> Kim</w:t>
      </w:r>
    </w:p>
    <w:p w14:paraId="0C4E02D8" w14:textId="77777777" w:rsidR="00E415D5" w:rsidRDefault="00B114B8">
      <w:pPr>
        <w:pStyle w:val="Heading1"/>
        <w:pBdr>
          <w:bottom w:val="single" w:sz="6" w:space="6" w:color="1A6B72"/>
        </w:pBdr>
      </w:pPr>
      <w:r>
        <w:t>1. Programme Overview and Purpose</w:t>
      </w:r>
    </w:p>
    <w:p w14:paraId="27CFCA00" w14:textId="77777777" w:rsidR="00E415D5" w:rsidRDefault="00B114B8">
      <w:pPr>
        <w:spacing w:before="60" w:after="120" w:line="276" w:lineRule="auto"/>
        <w:jc w:val="both"/>
      </w:pPr>
      <w:r>
        <w:rPr>
          <w:rFonts w:ascii="Arial" w:eastAsia="Arial" w:hAnsi="Arial" w:cs="Arial"/>
          <w:color w:val="1A1A2E"/>
          <w:sz w:val="22"/>
          <w:szCs w:val="22"/>
        </w:rPr>
        <w:t xml:space="preserve">Breaking the Cycle is a structured cognitive behavioural therapy (CBT) programme for children living in households affected by gender-based violence (GBV). Its purpose is to interrupt the documented mechanism by which childhood exposure to family violence </w:t>
      </w:r>
      <w:r>
        <w:rPr>
          <w:rFonts w:ascii="Arial" w:eastAsia="Arial" w:hAnsi="Arial" w:cs="Arial"/>
          <w:color w:val="1A1A2E"/>
          <w:sz w:val="22"/>
          <w:szCs w:val="22"/>
        </w:rPr>
        <w:t>produces lasting psychological harm — and, if left unaddressed, transmits that harm into the next generation through cycles of victimisation and perpetration.</w:t>
      </w:r>
    </w:p>
    <w:p w14:paraId="31F496BA" w14:textId="65DFDCD4" w:rsidR="00E415D5" w:rsidRDefault="00B114B8" w:rsidP="00F00B6F">
      <w:pPr>
        <w:spacing w:before="60" w:after="120" w:line="276" w:lineRule="auto"/>
        <w:jc w:val="both"/>
      </w:pPr>
      <w:r>
        <w:rPr>
          <w:rFonts w:ascii="Arial" w:eastAsia="Arial" w:hAnsi="Arial" w:cs="Arial"/>
          <w:color w:val="1A1A2E"/>
          <w:sz w:val="22"/>
          <w:szCs w:val="22"/>
        </w:rPr>
        <w:t>This document sets out the programme's Theory of Change: the causal logic connecting programme ac</w:t>
      </w:r>
      <w:r>
        <w:rPr>
          <w:rFonts w:ascii="Arial" w:eastAsia="Arial" w:hAnsi="Arial" w:cs="Arial"/>
          <w:color w:val="1A1A2E"/>
          <w:sz w:val="22"/>
          <w:szCs w:val="22"/>
        </w:rPr>
        <w:t>tivities to immediate outputs, medium-term outcomes, and long-term impact. It does not prescribe final programme design, which will be determined through expert consultation and contextual analysis of the target population. Key design decisions — including</w:t>
      </w:r>
      <w:r>
        <w:rPr>
          <w:rFonts w:ascii="Arial" w:eastAsia="Arial" w:hAnsi="Arial" w:cs="Arial"/>
          <w:color w:val="1A1A2E"/>
          <w:sz w:val="22"/>
          <w:szCs w:val="22"/>
        </w:rPr>
        <w:t xml:space="preserve"> session modality, frequency, group composition, and delivery setting — remain open and are flagged explicitly throughout.</w:t>
      </w:r>
    </w:p>
    <w:p w14:paraId="0F47220F" w14:textId="77777777" w:rsidR="00E415D5" w:rsidRDefault="00B114B8">
      <w:pPr>
        <w:pStyle w:val="Heading1"/>
        <w:pBdr>
          <w:bottom w:val="single" w:sz="6" w:space="6" w:color="1A6B72"/>
        </w:pBdr>
      </w:pPr>
      <w:r>
        <w:t>2. Problem Statement</w:t>
      </w:r>
    </w:p>
    <w:p w14:paraId="36F24DAD" w14:textId="77777777" w:rsidR="00E415D5" w:rsidRDefault="00B114B8">
      <w:pPr>
        <w:spacing w:before="60" w:after="120" w:line="276" w:lineRule="auto"/>
        <w:jc w:val="both"/>
      </w:pPr>
      <w:r>
        <w:rPr>
          <w:rFonts w:ascii="Arial" w:eastAsia="Arial" w:hAnsi="Arial" w:cs="Arial"/>
          <w:color w:val="1A1A2E"/>
          <w:sz w:val="22"/>
          <w:szCs w:val="22"/>
        </w:rPr>
        <w:t>Children in GBV-affected households face a dual burden: the acute psychological harm of witnessing or experienc</w:t>
      </w:r>
      <w:r>
        <w:rPr>
          <w:rFonts w:ascii="Arial" w:eastAsia="Arial" w:hAnsi="Arial" w:cs="Arial"/>
          <w:color w:val="1A1A2E"/>
          <w:sz w:val="22"/>
          <w:szCs w:val="22"/>
        </w:rPr>
        <w:t>ing violence, and the structural barriers that prevent them from accessing help. The evidence base establishes three interlocking dimensions of the problem:</w:t>
      </w:r>
    </w:p>
    <w:p w14:paraId="089AB07B" w14:textId="77777777" w:rsidR="00E415D5" w:rsidRDefault="00E415D5">
      <w:pPr>
        <w:spacing w:after="60"/>
      </w:pPr>
    </w:p>
    <w:p w14:paraId="31710EDD" w14:textId="77777777" w:rsidR="00E415D5" w:rsidRDefault="00B114B8">
      <w:pPr>
        <w:pStyle w:val="ListParagraph"/>
        <w:numPr>
          <w:ilvl w:val="0"/>
          <w:numId w:val="2"/>
        </w:numPr>
        <w:spacing w:before="40" w:after="40" w:line="264" w:lineRule="auto"/>
      </w:pPr>
      <w:r>
        <w:rPr>
          <w:b/>
          <w:bCs/>
          <w:color w:val="1A1A2E"/>
        </w:rPr>
        <w:t>Direct trauma exposure.</w:t>
      </w:r>
      <w:r>
        <w:rPr>
          <w:color w:val="1A1A2E"/>
        </w:rPr>
        <w:t xml:space="preserve"> Psychological harm.</w:t>
      </w:r>
    </w:p>
    <w:p w14:paraId="59540641" w14:textId="55D47C9B" w:rsidR="00E415D5" w:rsidRDefault="00B114B8">
      <w:pPr>
        <w:pStyle w:val="ListParagraph"/>
        <w:numPr>
          <w:ilvl w:val="0"/>
          <w:numId w:val="3"/>
        </w:numPr>
        <w:spacing w:before="30" w:after="30" w:line="264" w:lineRule="auto"/>
      </w:pPr>
      <w:r>
        <w:rPr>
          <w:color w:val="555555"/>
          <w:sz w:val="21"/>
          <w:szCs w:val="21"/>
        </w:rPr>
        <w:t>Clinically elevated rates of PTSD, depression, anxiety</w:t>
      </w:r>
      <w:r>
        <w:rPr>
          <w:color w:val="555555"/>
          <w:sz w:val="21"/>
          <w:szCs w:val="21"/>
        </w:rPr>
        <w:t>, and externalising behaviour problems.</w:t>
      </w:r>
    </w:p>
    <w:p w14:paraId="0780E0E1" w14:textId="77777777" w:rsidR="00E415D5" w:rsidRDefault="00B114B8">
      <w:pPr>
        <w:pStyle w:val="ListParagraph"/>
        <w:numPr>
          <w:ilvl w:val="0"/>
          <w:numId w:val="3"/>
        </w:numPr>
        <w:spacing w:before="30" w:after="30" w:line="264" w:lineRule="auto"/>
      </w:pPr>
      <w:r>
        <w:rPr>
          <w:color w:val="555555"/>
          <w:sz w:val="21"/>
          <w:szCs w:val="21"/>
        </w:rPr>
        <w:t>Disruption to emotional regulation, self-concept, and the capacity to form safe relationships.</w:t>
      </w:r>
    </w:p>
    <w:p w14:paraId="763FD57A" w14:textId="77777777" w:rsidR="00E415D5" w:rsidRDefault="00B114B8">
      <w:pPr>
        <w:pStyle w:val="ListParagraph"/>
        <w:numPr>
          <w:ilvl w:val="0"/>
          <w:numId w:val="2"/>
        </w:numPr>
        <w:spacing w:before="40" w:after="40" w:line="264" w:lineRule="auto"/>
      </w:pPr>
      <w:r>
        <w:rPr>
          <w:b/>
          <w:bCs/>
          <w:color w:val="1A1A2E"/>
        </w:rPr>
        <w:t>Cycle risk.</w:t>
      </w:r>
      <w:r>
        <w:rPr>
          <w:color w:val="1A1A2E"/>
        </w:rPr>
        <w:t xml:space="preserve"> Intergenerational transmission.</w:t>
      </w:r>
    </w:p>
    <w:p w14:paraId="09ED9CF0" w14:textId="2CAABA17" w:rsidR="00E415D5" w:rsidRDefault="00B114B8">
      <w:pPr>
        <w:pStyle w:val="ListParagraph"/>
        <w:numPr>
          <w:ilvl w:val="0"/>
          <w:numId w:val="3"/>
        </w:numPr>
        <w:spacing w:before="30" w:after="30" w:line="264" w:lineRule="auto"/>
      </w:pPr>
      <w:r>
        <w:rPr>
          <w:color w:val="555555"/>
          <w:sz w:val="21"/>
          <w:szCs w:val="21"/>
        </w:rPr>
        <w:t>Approximately one-third of children exposed to family violence go on to becom</w:t>
      </w:r>
      <w:r>
        <w:rPr>
          <w:color w:val="555555"/>
          <w:sz w:val="21"/>
          <w:szCs w:val="21"/>
        </w:rPr>
        <w:t>e victims or perpetrators of GBV in adulthood</w:t>
      </w:r>
      <w:r w:rsidR="004F3545">
        <w:rPr>
          <w:color w:val="555555"/>
          <w:sz w:val="21"/>
          <w:szCs w:val="21"/>
          <w:lang w:val="en-US"/>
        </w:rPr>
        <w:t xml:space="preserve"> </w:t>
      </w:r>
      <w:r w:rsidR="004F3545" w:rsidRPr="004F3545">
        <w:rPr>
          <w:color w:val="555555"/>
          <w:sz w:val="21"/>
          <w:szCs w:val="21"/>
        </w:rPr>
        <w:t>(van Rosmalen-Nooijens et al., 2013)</w:t>
      </w:r>
      <w:r w:rsidR="004F3545">
        <w:rPr>
          <w:color w:val="555555"/>
          <w:sz w:val="21"/>
          <w:szCs w:val="21"/>
          <w:lang w:val="en-US"/>
        </w:rPr>
        <w:t>.</w:t>
      </w:r>
    </w:p>
    <w:p w14:paraId="7BAA6126" w14:textId="77777777" w:rsidR="00E415D5" w:rsidRDefault="00B114B8">
      <w:pPr>
        <w:pStyle w:val="ListParagraph"/>
        <w:numPr>
          <w:ilvl w:val="0"/>
          <w:numId w:val="3"/>
        </w:numPr>
        <w:spacing w:before="30" w:after="30" w:line="264" w:lineRule="auto"/>
      </w:pPr>
      <w:r>
        <w:rPr>
          <w:color w:val="555555"/>
          <w:sz w:val="21"/>
          <w:szCs w:val="21"/>
        </w:rPr>
        <w:t>Continued contact with an abusive parent who denies or minimises the violence is a documented barrier to recovery — it prevents children from constructing a coherent trauma narrative, which is a prerequisite f</w:t>
      </w:r>
      <w:r>
        <w:rPr>
          <w:color w:val="555555"/>
          <w:sz w:val="21"/>
          <w:szCs w:val="21"/>
        </w:rPr>
        <w:t>or therapeutic progress (Holt et al., 2025).</w:t>
      </w:r>
    </w:p>
    <w:p w14:paraId="525DF753" w14:textId="77777777" w:rsidR="00E415D5" w:rsidRDefault="00B114B8">
      <w:pPr>
        <w:pStyle w:val="ListParagraph"/>
        <w:numPr>
          <w:ilvl w:val="0"/>
          <w:numId w:val="2"/>
        </w:numPr>
        <w:spacing w:before="40" w:after="40" w:line="264" w:lineRule="auto"/>
      </w:pPr>
      <w:r>
        <w:rPr>
          <w:b/>
          <w:bCs/>
          <w:color w:val="1A1A2E"/>
        </w:rPr>
        <w:t>Structural exclusion.</w:t>
      </w:r>
      <w:r>
        <w:rPr>
          <w:color w:val="1A1A2E"/>
        </w:rPr>
        <w:t xml:space="preserve"> Access barriers.</w:t>
      </w:r>
    </w:p>
    <w:p w14:paraId="79E60331" w14:textId="77777777" w:rsidR="00E415D5" w:rsidRDefault="00B114B8">
      <w:pPr>
        <w:pStyle w:val="ListParagraph"/>
        <w:numPr>
          <w:ilvl w:val="0"/>
          <w:numId w:val="3"/>
        </w:numPr>
        <w:spacing w:before="30" w:after="30" w:line="264" w:lineRule="auto"/>
      </w:pPr>
      <w:r>
        <w:rPr>
          <w:color w:val="555555"/>
          <w:sz w:val="21"/>
          <w:szCs w:val="21"/>
        </w:rPr>
        <w:t xml:space="preserve">Children frequently prioritise protecting their parents over seeking help. Traditional services often require parental consent or involve long waiting lists, both of which </w:t>
      </w:r>
      <w:r>
        <w:rPr>
          <w:color w:val="555555"/>
          <w:sz w:val="21"/>
          <w:szCs w:val="21"/>
        </w:rPr>
        <w:t>are structurally inaccessible in GBV contexts.</w:t>
      </w:r>
    </w:p>
    <w:p w14:paraId="0815590E" w14:textId="77777777" w:rsidR="00E415D5" w:rsidRDefault="00B114B8">
      <w:pPr>
        <w:pStyle w:val="ListParagraph"/>
        <w:numPr>
          <w:ilvl w:val="0"/>
          <w:numId w:val="3"/>
        </w:numPr>
        <w:spacing w:before="30" w:after="30" w:line="264" w:lineRule="auto"/>
      </w:pPr>
      <w:r>
        <w:rPr>
          <w:color w:val="555555"/>
          <w:sz w:val="21"/>
          <w:szCs w:val="21"/>
        </w:rPr>
        <w:t>Programme design must therefore actively lower the threshold for access rather than relying on self-referral.</w:t>
      </w:r>
    </w:p>
    <w:p w14:paraId="10557CFA" w14:textId="4FE17C33" w:rsidR="00E7693A" w:rsidRPr="00E7693A" w:rsidRDefault="00A36AB1" w:rsidP="00E7693A">
      <w:pPr>
        <w:pStyle w:val="Heading1"/>
        <w:pBdr>
          <w:bottom w:val="single" w:sz="6" w:space="6" w:color="1A6B72"/>
        </w:pBdr>
        <w:rPr>
          <w:lang w:val="en-US"/>
        </w:rPr>
      </w:pPr>
      <w:r>
        <w:rPr>
          <w:lang w:val="en-US"/>
        </w:rPr>
        <w:t>3</w:t>
      </w:r>
      <w:r>
        <w:t xml:space="preserve">. </w:t>
      </w:r>
      <w:r>
        <w:rPr>
          <w:lang w:val="en-US"/>
        </w:rPr>
        <w:t>Evidence Base</w:t>
      </w:r>
    </w:p>
    <w:p w14:paraId="645FBA73" w14:textId="186683A0" w:rsidR="00E7693A" w:rsidRPr="00D71023" w:rsidRDefault="00E7693A" w:rsidP="00E7693A">
      <w:pPr>
        <w:spacing w:before="60" w:after="120" w:line="276" w:lineRule="auto"/>
        <w:jc w:val="both"/>
        <w:rPr>
          <w:rFonts w:ascii="Arial" w:eastAsia="Arial" w:hAnsi="Arial" w:cs="Arial"/>
          <w:color w:val="1A1A2E"/>
          <w:sz w:val="22"/>
          <w:szCs w:val="22"/>
        </w:rPr>
      </w:pPr>
      <w:r w:rsidRPr="00D71023">
        <w:rPr>
          <w:rFonts w:ascii="Arial" w:eastAsia="Arial" w:hAnsi="Arial" w:cs="Arial"/>
          <w:color w:val="1A1A2E"/>
          <w:sz w:val="22"/>
          <w:szCs w:val="22"/>
        </w:rPr>
        <w:lastRenderedPageBreak/>
        <w:t>The programme's Theory of Change is grounded in a substantial body of peer-reviewed research, systematic reviews, and programme evaluations. The evidence supports five core claims.</w:t>
      </w:r>
    </w:p>
    <w:p w14:paraId="2FC1D204" w14:textId="2FD45576" w:rsidR="00E7693A" w:rsidRPr="00D71023" w:rsidRDefault="00E7693A" w:rsidP="00E7693A">
      <w:pPr>
        <w:spacing w:before="60" w:after="120" w:line="276" w:lineRule="auto"/>
        <w:jc w:val="both"/>
        <w:rPr>
          <w:rFonts w:ascii="Arial" w:eastAsia="Arial" w:hAnsi="Arial" w:cs="Arial"/>
          <w:color w:val="1A1A2E"/>
          <w:sz w:val="22"/>
          <w:szCs w:val="22"/>
        </w:rPr>
      </w:pPr>
      <w:r w:rsidRPr="00D71023">
        <w:rPr>
          <w:rFonts w:ascii="Arial" w:eastAsia="Arial" w:hAnsi="Arial" w:cs="Arial"/>
          <w:color w:val="1A1A2E"/>
          <w:sz w:val="22"/>
          <w:szCs w:val="22"/>
        </w:rPr>
        <w:t>First, the problem is clinically significant and well-documented. Children in GBV-affected households show consistently elevated rates of PTSD, depression, anxiety, and externalising behaviour problems. Approximately one-third go on to become victims or perpetrators of violence in adulthood, establishing a clear intergenerational transmission mechanism (van Rosmalen-Nooijens et al., 2013; Holt et al., 2008).</w:t>
      </w:r>
    </w:p>
    <w:p w14:paraId="33503767" w14:textId="7FDF5C84" w:rsidR="00E7693A" w:rsidRPr="00D71023" w:rsidRDefault="00E7693A" w:rsidP="00E7693A">
      <w:pPr>
        <w:spacing w:before="60" w:after="120" w:line="276" w:lineRule="auto"/>
        <w:jc w:val="both"/>
        <w:rPr>
          <w:rFonts w:ascii="Arial" w:eastAsia="Arial" w:hAnsi="Arial" w:cs="Arial"/>
          <w:color w:val="1A1A2E"/>
          <w:sz w:val="22"/>
          <w:szCs w:val="22"/>
        </w:rPr>
      </w:pPr>
      <w:r w:rsidRPr="00D71023">
        <w:rPr>
          <w:rFonts w:ascii="Arial" w:eastAsia="Arial" w:hAnsi="Arial" w:cs="Arial"/>
          <w:color w:val="1A1A2E"/>
          <w:sz w:val="22"/>
          <w:szCs w:val="22"/>
        </w:rPr>
        <w:t>Second, direct child engagement is necessary. The IMPROVE systematic review (Howarth et al., 2016) finds that programmes delivered only to the non-offending parent — without a direct child component — do not produce significant improvements in child outcomes. Effective recovery requires therapeutic engagement with the child directly, or with the parent-child dyad.</w:t>
      </w:r>
    </w:p>
    <w:p w14:paraId="303FC6E1" w14:textId="36ED2D30" w:rsidR="00E7693A" w:rsidRPr="00D71023" w:rsidRDefault="00E7693A" w:rsidP="00E7693A">
      <w:pPr>
        <w:spacing w:before="60" w:after="120" w:line="276" w:lineRule="auto"/>
        <w:jc w:val="both"/>
        <w:rPr>
          <w:rFonts w:ascii="Arial" w:eastAsia="Arial" w:hAnsi="Arial" w:cs="Arial"/>
          <w:color w:val="1A1A2E"/>
          <w:sz w:val="22"/>
          <w:szCs w:val="22"/>
        </w:rPr>
      </w:pPr>
      <w:r w:rsidRPr="00D71023">
        <w:rPr>
          <w:rFonts w:ascii="Arial" w:eastAsia="Arial" w:hAnsi="Arial" w:cs="Arial"/>
          <w:color w:val="1A1A2E"/>
          <w:sz w:val="22"/>
          <w:szCs w:val="22"/>
        </w:rPr>
        <w:t>Third, CBT is the most evidence-supported modality for this population. Trauma-Focused CBT produces significant reductions in PTSD, depression, and shame in children aged 7–14, with effects documented across multiple programme models including TF-CBT, Child-Parent Psychotherapy, and the Kids' Club (Vickerman &amp; Margolin, 2007; Howarth et al., 2016; Graham-Bermann et al., 2007). Core components — trauma narratives, cognitive restructuring, emotion regulation, and safety planning — each carry independent empirical support.</w:t>
      </w:r>
    </w:p>
    <w:p w14:paraId="119B5311" w14:textId="43EB6061" w:rsidR="00E7693A" w:rsidRPr="00D71023" w:rsidRDefault="00E7693A" w:rsidP="00E7693A">
      <w:pPr>
        <w:spacing w:before="60" w:after="120" w:line="276" w:lineRule="auto"/>
        <w:jc w:val="both"/>
        <w:rPr>
          <w:rFonts w:ascii="Arial" w:eastAsia="Arial" w:hAnsi="Arial" w:cs="Arial"/>
          <w:color w:val="1A1A2E"/>
          <w:sz w:val="22"/>
          <w:szCs w:val="22"/>
        </w:rPr>
      </w:pPr>
      <w:r w:rsidRPr="00D71023">
        <w:rPr>
          <w:rFonts w:ascii="Arial" w:eastAsia="Arial" w:hAnsi="Arial" w:cs="Arial"/>
          <w:color w:val="1A1A2E"/>
          <w:sz w:val="22"/>
          <w:szCs w:val="22"/>
        </w:rPr>
        <w:t>Fourth, therapeutic gains are durable. A long-term mixed-methods evaluation found that most children retained their gains 4–5 years after TF-CBT completion, with the majority no longer meeting diagnostic criteria for PTSD (Onsjö et al., 2026). Evidence from the STYL programme in Liberia further demonstrates that CBT-driven reductions in violent behaviour can persist for at least ten years (Blattman et al., 2017).</w:t>
      </w:r>
    </w:p>
    <w:p w14:paraId="0ECE7531" w14:textId="49BF1B02" w:rsidR="00E7693A" w:rsidRPr="00D71023" w:rsidRDefault="00E7693A" w:rsidP="00E7693A">
      <w:pPr>
        <w:spacing w:before="60" w:after="120" w:line="276" w:lineRule="auto"/>
        <w:jc w:val="both"/>
        <w:rPr>
          <w:rFonts w:ascii="Arial" w:eastAsia="Arial" w:hAnsi="Arial" w:cs="Arial"/>
          <w:color w:val="1A1A2E"/>
          <w:sz w:val="22"/>
          <w:szCs w:val="22"/>
        </w:rPr>
      </w:pPr>
      <w:r w:rsidRPr="00D71023">
        <w:rPr>
          <w:rFonts w:ascii="Arial" w:eastAsia="Arial" w:hAnsi="Arial" w:cs="Arial"/>
          <w:color w:val="1A1A2E"/>
          <w:sz w:val="22"/>
          <w:szCs w:val="22"/>
        </w:rPr>
        <w:t>Fifth, the approach is effective across contexts, including low-resource and GBV-specific settings. The Becoming a Man programme in Chicago reduced violent crime arrests by 20% and improved graduation rates by 9% among high-risk youth (Heller et al., 2017). Problem Management Plus, a brief psychotherapy model developed for low-resource settings, significantly reduced psychological distress among GBV survivors in Kenya (Bryant et al., 2017; Haushofer et al., 2023), confirming that structured psychotherapy can be adapted for real-world constraints without losing effectiveness.</w:t>
      </w:r>
    </w:p>
    <w:p w14:paraId="2A713B7E" w14:textId="6A1B93DE" w:rsidR="000536CE" w:rsidRPr="007C7DB5" w:rsidRDefault="000536CE" w:rsidP="00F00B6F">
      <w:pPr>
        <w:spacing w:before="60" w:after="120" w:line="276" w:lineRule="auto"/>
        <w:jc w:val="both"/>
        <w:rPr>
          <w:rFonts w:ascii="Arial" w:eastAsia="Arial" w:hAnsi="Arial" w:cs="Arial"/>
          <w:color w:val="1A1A2E"/>
          <w:sz w:val="22"/>
          <w:szCs w:val="22"/>
          <w:lang w:val="en-US"/>
        </w:rPr>
      </w:pPr>
      <w:r w:rsidRPr="00D71023">
        <w:rPr>
          <w:rFonts w:ascii="Arial" w:eastAsia="Arial" w:hAnsi="Arial" w:cs="Arial"/>
          <w:color w:val="1A1A2E"/>
          <w:sz w:val="22"/>
          <w:szCs w:val="22"/>
        </w:rPr>
        <w:t>The full evidence base, including detailed discussion of each study and a synthesis by programme modality and results level, is available in the accompanying literature review: Breaking the Cycle: Cognitive Behavioural Therapy for Children in GBV-Affected Households — Literature Review and Evidence Base</w:t>
      </w:r>
      <w:r w:rsidR="007C7DB5">
        <w:rPr>
          <w:rFonts w:ascii="Arial" w:eastAsia="Arial" w:hAnsi="Arial" w:cs="Arial"/>
          <w:color w:val="1A1A2E"/>
          <w:sz w:val="22"/>
          <w:szCs w:val="22"/>
          <w:lang w:val="en-US"/>
        </w:rPr>
        <w:t>.</w:t>
      </w:r>
    </w:p>
    <w:p w14:paraId="20A954C3" w14:textId="77777777" w:rsidR="009B198A" w:rsidRPr="00D71023" w:rsidRDefault="009B198A" w:rsidP="00F00B6F">
      <w:pPr>
        <w:spacing w:before="60" w:after="120" w:line="276" w:lineRule="auto"/>
        <w:jc w:val="both"/>
        <w:rPr>
          <w:rFonts w:ascii="Arial" w:eastAsia="Arial" w:hAnsi="Arial" w:cs="Arial"/>
          <w:color w:val="1A1A2E"/>
          <w:sz w:val="22"/>
          <w:szCs w:val="22"/>
        </w:rPr>
      </w:pPr>
    </w:p>
    <w:p w14:paraId="21C9FF70" w14:textId="41A9CED9" w:rsidR="00E415D5" w:rsidRDefault="00A36AB1" w:rsidP="00A36AB1">
      <w:pPr>
        <w:pStyle w:val="Heading1"/>
        <w:pBdr>
          <w:bottom w:val="single" w:sz="6" w:space="6" w:color="1A6B72"/>
        </w:pBdr>
      </w:pPr>
      <w:r>
        <w:rPr>
          <w:lang w:val="en-US"/>
        </w:rPr>
        <w:t>4</w:t>
      </w:r>
      <w:r w:rsidR="00B114B8">
        <w:t>. Theory of Change</w:t>
      </w:r>
    </w:p>
    <w:p w14:paraId="5D5936FD" w14:textId="6F2AC483" w:rsidR="00E415D5" w:rsidRDefault="00B114B8">
      <w:pPr>
        <w:spacing w:before="60" w:after="120" w:line="276" w:lineRule="auto"/>
        <w:jc w:val="both"/>
      </w:pPr>
      <w:r>
        <w:rPr>
          <w:rFonts w:ascii="Arial" w:eastAsia="Arial" w:hAnsi="Arial" w:cs="Arial"/>
          <w:color w:val="1A1A2E"/>
          <w:sz w:val="22"/>
          <w:szCs w:val="22"/>
        </w:rPr>
        <w:t>The programme's causal chain runs from therapeutic input through clinical output</w:t>
      </w:r>
      <w:r w:rsidR="00D66815">
        <w:rPr>
          <w:color w:val="1A1A2E"/>
          <w:lang w:val="en-US"/>
        </w:rPr>
        <w:t>s</w:t>
      </w:r>
      <w:r>
        <w:rPr>
          <w:rFonts w:ascii="Arial" w:eastAsia="Arial" w:hAnsi="Arial" w:cs="Arial"/>
          <w:color w:val="1A1A2E"/>
          <w:sz w:val="22"/>
          <w:szCs w:val="22"/>
        </w:rPr>
        <w:t xml:space="preserve"> to </w:t>
      </w:r>
      <w:r>
        <w:rPr>
          <w:rFonts w:ascii="Arial" w:eastAsia="Arial" w:hAnsi="Arial" w:cs="Arial"/>
          <w:color w:val="1A1A2E"/>
          <w:sz w:val="22"/>
          <w:szCs w:val="22"/>
        </w:rPr>
        <w:t>outcome</w:t>
      </w:r>
      <w:r w:rsidR="00D66815">
        <w:rPr>
          <w:color w:val="1A1A2E"/>
          <w:lang w:val="en-US"/>
        </w:rPr>
        <w:t>s</w:t>
      </w:r>
      <w:r>
        <w:rPr>
          <w:rFonts w:ascii="Arial" w:eastAsia="Arial" w:hAnsi="Arial" w:cs="Arial"/>
          <w:color w:val="1A1A2E"/>
          <w:sz w:val="22"/>
          <w:szCs w:val="22"/>
        </w:rPr>
        <w:t xml:space="preserve">, and ultimately to a </w:t>
      </w:r>
      <w:r>
        <w:rPr>
          <w:rFonts w:ascii="Arial" w:eastAsia="Arial" w:hAnsi="Arial" w:cs="Arial"/>
          <w:color w:val="1A1A2E"/>
          <w:sz w:val="22"/>
          <w:szCs w:val="22"/>
        </w:rPr>
        <w:t>impact: the interruption of the intergenerational cycle of GBV.</w:t>
      </w:r>
    </w:p>
    <w:p w14:paraId="28B8E2FC" w14:textId="57E8B8BC" w:rsidR="00D3621F" w:rsidRDefault="004C4A9C" w:rsidP="00D3621F">
      <w:pPr>
        <w:keepNext/>
        <w:spacing w:after="60"/>
        <w:jc w:val="center"/>
      </w:pPr>
      <w:r>
        <w:rPr>
          <w:noProof/>
        </w:rPr>
        <w:lastRenderedPageBreak/>
        <w:drawing>
          <wp:inline distT="0" distB="0" distL="0" distR="0" wp14:anchorId="65AF3CE3" wp14:editId="120D6499">
            <wp:extent cx="5515172" cy="7003701"/>
            <wp:effectExtent l="0" t="0" r="0" b="0"/>
            <wp:docPr id="1" name="Picture 1" descr="A diagram of a health c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health care system&#10;&#10;Description automatically generated"/>
                    <pic:cNvPicPr/>
                  </pic:nvPicPr>
                  <pic:blipFill rotWithShape="1">
                    <a:blip r:embed="rId7" cstate="print">
                      <a:extLst>
                        <a:ext uri="{28A0092B-C50C-407E-A947-70E740481C1C}">
                          <a14:useLocalDpi xmlns:a14="http://schemas.microsoft.com/office/drawing/2010/main" val="0"/>
                        </a:ext>
                      </a:extLst>
                    </a:blip>
                    <a:srcRect t="6533" r="392" b="4600"/>
                    <a:stretch/>
                  </pic:blipFill>
                  <pic:spPr bwMode="auto">
                    <a:xfrm>
                      <a:off x="0" y="0"/>
                      <a:ext cx="5578720" cy="7084400"/>
                    </a:xfrm>
                    <a:prstGeom prst="rect">
                      <a:avLst/>
                    </a:prstGeom>
                    <a:ln>
                      <a:noFill/>
                    </a:ln>
                    <a:extLst>
                      <a:ext uri="{53640926-AAD7-44D8-BBD7-CCE9431645EC}">
                        <a14:shadowObscured xmlns:a14="http://schemas.microsoft.com/office/drawing/2010/main"/>
                      </a:ext>
                    </a:extLst>
                  </pic:spPr>
                </pic:pic>
              </a:graphicData>
            </a:graphic>
          </wp:inline>
        </w:drawing>
      </w:r>
    </w:p>
    <w:p w14:paraId="429F76CE" w14:textId="6BC896BB" w:rsidR="00E415D5" w:rsidRPr="00A755AA" w:rsidRDefault="00F72A94" w:rsidP="00F72A94">
      <w:pPr>
        <w:pStyle w:val="Caption"/>
        <w:jc w:val="center"/>
        <w:rPr>
          <w:rFonts w:ascii="Arial" w:hAnsi="Arial" w:cs="Arial"/>
          <w:sz w:val="20"/>
          <w:szCs w:val="20"/>
        </w:rPr>
      </w:pPr>
      <w:r w:rsidRPr="00A755AA">
        <w:rPr>
          <w:rFonts w:ascii="Arial" w:hAnsi="Arial" w:cs="Arial"/>
          <w:sz w:val="20"/>
          <w:szCs w:val="20"/>
        </w:rPr>
        <w:t xml:space="preserve">Figure </w:t>
      </w:r>
      <w:r w:rsidRPr="00A755AA">
        <w:rPr>
          <w:rFonts w:ascii="Arial" w:hAnsi="Arial" w:cs="Arial"/>
          <w:sz w:val="20"/>
          <w:szCs w:val="20"/>
        </w:rPr>
        <w:fldChar w:fldCharType="begin"/>
      </w:r>
      <w:r w:rsidRPr="00A755AA">
        <w:rPr>
          <w:rFonts w:ascii="Arial" w:hAnsi="Arial" w:cs="Arial"/>
          <w:sz w:val="20"/>
          <w:szCs w:val="20"/>
        </w:rPr>
        <w:instrText xml:space="preserve"> SEQ Figure \* ARABIC </w:instrText>
      </w:r>
      <w:r w:rsidRPr="00A755AA">
        <w:rPr>
          <w:rFonts w:ascii="Arial" w:hAnsi="Arial" w:cs="Arial"/>
          <w:sz w:val="20"/>
          <w:szCs w:val="20"/>
        </w:rPr>
        <w:fldChar w:fldCharType="separate"/>
      </w:r>
      <w:r w:rsidRPr="00A755AA">
        <w:rPr>
          <w:rFonts w:ascii="Arial" w:hAnsi="Arial" w:cs="Arial"/>
          <w:noProof/>
          <w:sz w:val="20"/>
          <w:szCs w:val="20"/>
        </w:rPr>
        <w:t>1</w:t>
      </w:r>
      <w:r w:rsidRPr="00A755AA">
        <w:rPr>
          <w:rFonts w:ascii="Arial" w:hAnsi="Arial" w:cs="Arial"/>
          <w:sz w:val="20"/>
          <w:szCs w:val="20"/>
        </w:rPr>
        <w:fldChar w:fldCharType="end"/>
      </w:r>
      <w:r w:rsidRPr="00A755AA">
        <w:rPr>
          <w:rFonts w:ascii="Arial" w:hAnsi="Arial" w:cs="Arial"/>
          <w:sz w:val="20"/>
          <w:szCs w:val="20"/>
          <w:lang w:val="en-US"/>
        </w:rPr>
        <w:t xml:space="preserve"> Theory of Change</w:t>
      </w:r>
      <w:r w:rsidR="00292A21" w:rsidRPr="00A755AA">
        <w:rPr>
          <w:rFonts w:ascii="Arial" w:hAnsi="Arial" w:cs="Arial"/>
          <w:sz w:val="20"/>
          <w:szCs w:val="20"/>
          <w:lang w:val="en-US"/>
        </w:rPr>
        <w:t xml:space="preserve">: </w:t>
      </w:r>
      <w:r w:rsidR="00292A21" w:rsidRPr="00A755AA">
        <w:rPr>
          <w:rFonts w:ascii="Arial" w:hAnsi="Arial" w:cs="Arial"/>
          <w:sz w:val="20"/>
          <w:szCs w:val="20"/>
          <w:lang w:val="en-US"/>
        </w:rPr>
        <w:t>Causal chain from therapeutic intervention to long-term impact</w:t>
      </w:r>
    </w:p>
    <w:p w14:paraId="7E601C2F" w14:textId="77777777" w:rsidR="00925BE7" w:rsidRDefault="00925BE7">
      <w:pPr>
        <w:pStyle w:val="Heading2"/>
      </w:pPr>
    </w:p>
    <w:p w14:paraId="77C36215" w14:textId="07CEB48C" w:rsidR="00D3621F" w:rsidRPr="00A755AA" w:rsidRDefault="00D3621F" w:rsidP="00D3621F">
      <w:pPr>
        <w:pStyle w:val="Caption"/>
        <w:keepNext/>
        <w:rPr>
          <w:rFonts w:ascii="Arial" w:hAnsi="Arial" w:cs="Arial"/>
          <w:noProof/>
          <w:sz w:val="20"/>
          <w:szCs w:val="20"/>
        </w:rPr>
      </w:pPr>
      <w:r w:rsidRPr="00A755AA">
        <w:rPr>
          <w:rFonts w:ascii="Arial" w:hAnsi="Arial" w:cs="Arial"/>
          <w:noProof/>
          <w:sz w:val="20"/>
          <w:szCs w:val="20"/>
        </w:rPr>
        <w:lastRenderedPageBreak/>
        <w:t xml:space="preserve">Table </w:t>
      </w:r>
      <w:r w:rsidRPr="00A755AA">
        <w:rPr>
          <w:rFonts w:ascii="Arial" w:hAnsi="Arial" w:cs="Arial"/>
          <w:noProof/>
          <w:sz w:val="20"/>
          <w:szCs w:val="20"/>
        </w:rPr>
        <w:fldChar w:fldCharType="begin"/>
      </w:r>
      <w:r w:rsidRPr="00A755AA">
        <w:rPr>
          <w:rFonts w:ascii="Arial" w:hAnsi="Arial" w:cs="Arial"/>
          <w:noProof/>
          <w:sz w:val="20"/>
          <w:szCs w:val="20"/>
        </w:rPr>
        <w:instrText xml:space="preserve"> SEQ Table \* ARABIC </w:instrText>
      </w:r>
      <w:r w:rsidRPr="00A755AA">
        <w:rPr>
          <w:rFonts w:ascii="Arial" w:hAnsi="Arial" w:cs="Arial"/>
          <w:noProof/>
          <w:sz w:val="20"/>
          <w:szCs w:val="20"/>
        </w:rPr>
        <w:fldChar w:fldCharType="separate"/>
      </w:r>
      <w:r w:rsidRPr="00A755AA">
        <w:rPr>
          <w:rFonts w:ascii="Arial" w:hAnsi="Arial" w:cs="Arial"/>
          <w:noProof/>
          <w:sz w:val="20"/>
          <w:szCs w:val="20"/>
        </w:rPr>
        <w:t>1</w:t>
      </w:r>
      <w:r w:rsidRPr="00A755AA">
        <w:rPr>
          <w:rFonts w:ascii="Arial" w:hAnsi="Arial" w:cs="Arial"/>
          <w:noProof/>
          <w:sz w:val="20"/>
          <w:szCs w:val="20"/>
        </w:rPr>
        <w:fldChar w:fldCharType="end"/>
      </w:r>
      <w:r w:rsidRPr="00A755AA">
        <w:rPr>
          <w:rFonts w:ascii="Arial" w:hAnsi="Arial" w:cs="Arial"/>
          <w:noProof/>
          <w:sz w:val="20"/>
          <w:szCs w:val="20"/>
        </w:rPr>
        <w:t xml:space="preserve"> Breakin</w:t>
      </w:r>
      <w:r w:rsidR="00A755AA">
        <w:rPr>
          <w:rFonts w:ascii="Arial" w:hAnsi="Arial" w:cs="Arial"/>
          <w:noProof/>
          <w:sz w:val="20"/>
          <w:szCs w:val="20"/>
          <w:lang w:val="en-US"/>
        </w:rPr>
        <w:t>g</w:t>
      </w:r>
      <w:r w:rsidRPr="00A755AA">
        <w:rPr>
          <w:rFonts w:ascii="Arial" w:hAnsi="Arial" w:cs="Arial"/>
          <w:noProof/>
          <w:sz w:val="20"/>
          <w:szCs w:val="20"/>
        </w:rPr>
        <w:t xml:space="preserve"> the Cycle Programme Log Frame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3"/>
        <w:gridCol w:w="1934"/>
        <w:gridCol w:w="2266"/>
        <w:gridCol w:w="1913"/>
        <w:gridCol w:w="2212"/>
      </w:tblGrid>
      <w:tr w:rsidR="00D3621F" w14:paraId="7D28CB16" w14:textId="77777777" w:rsidTr="00D3621F">
        <w:tblPrEx>
          <w:tblCellMar>
            <w:top w:w="0" w:type="dxa"/>
            <w:bottom w:w="0" w:type="dxa"/>
          </w:tblCellMar>
        </w:tblPrEx>
        <w:trPr>
          <w:tblHeader/>
        </w:trPr>
        <w:tc>
          <w:tcPr>
            <w:tcW w:w="717" w:type="pct"/>
            <w:tcBorders>
              <w:top w:val="single" w:sz="1" w:space="0" w:color="AAAAAA"/>
              <w:left w:val="single" w:sz="1" w:space="0" w:color="AAAAAA"/>
              <w:bottom w:val="single" w:sz="1" w:space="0" w:color="AAAAAA"/>
              <w:right w:val="single" w:sz="1" w:space="0" w:color="AAAAAA"/>
            </w:tcBorders>
            <w:shd w:val="clear" w:color="auto" w:fill="1A6B72"/>
            <w:tcMar>
              <w:top w:w="100" w:type="dxa"/>
              <w:left w:w="120" w:type="dxa"/>
              <w:bottom w:w="100" w:type="dxa"/>
              <w:right w:w="120" w:type="dxa"/>
            </w:tcMar>
            <w:vAlign w:val="center"/>
          </w:tcPr>
          <w:p w14:paraId="3196405D" w14:textId="77777777" w:rsidR="00D3621F" w:rsidRDefault="00D3621F" w:rsidP="001C0275">
            <w:pPr>
              <w:jc w:val="center"/>
            </w:pPr>
            <w:r>
              <w:rPr>
                <w:rFonts w:ascii="Arial" w:eastAsia="Arial" w:hAnsi="Arial" w:cs="Arial"/>
                <w:b/>
                <w:bCs/>
                <w:color w:val="FFFFFF"/>
                <w:sz w:val="20"/>
                <w:szCs w:val="20"/>
              </w:rPr>
              <w:t>Level</w:t>
            </w:r>
          </w:p>
        </w:tc>
        <w:tc>
          <w:tcPr>
            <w:tcW w:w="995" w:type="pct"/>
            <w:tcBorders>
              <w:top w:val="single" w:sz="1" w:space="0" w:color="AAAAAA"/>
              <w:left w:val="single" w:sz="1" w:space="0" w:color="AAAAAA"/>
              <w:bottom w:val="single" w:sz="1" w:space="0" w:color="AAAAAA"/>
              <w:right w:val="single" w:sz="1" w:space="0" w:color="AAAAAA"/>
            </w:tcBorders>
            <w:shd w:val="clear" w:color="auto" w:fill="1A6B72"/>
            <w:tcMar>
              <w:top w:w="100" w:type="dxa"/>
              <w:left w:w="120" w:type="dxa"/>
              <w:bottom w:w="100" w:type="dxa"/>
              <w:right w:w="120" w:type="dxa"/>
            </w:tcMar>
            <w:vAlign w:val="center"/>
          </w:tcPr>
          <w:p w14:paraId="6C300041" w14:textId="77777777" w:rsidR="00D3621F" w:rsidRDefault="00D3621F" w:rsidP="001C0275">
            <w:pPr>
              <w:jc w:val="center"/>
            </w:pPr>
            <w:r>
              <w:rPr>
                <w:rFonts w:ascii="Arial" w:eastAsia="Arial" w:hAnsi="Arial" w:cs="Arial"/>
                <w:b/>
                <w:bCs/>
                <w:color w:val="FFFFFF"/>
                <w:sz w:val="20"/>
                <w:szCs w:val="20"/>
              </w:rPr>
              <w:t>Objectives Hierarchy</w:t>
            </w:r>
          </w:p>
        </w:tc>
        <w:tc>
          <w:tcPr>
            <w:tcW w:w="1166" w:type="pct"/>
            <w:tcBorders>
              <w:top w:val="single" w:sz="1" w:space="0" w:color="AAAAAA"/>
              <w:left w:val="single" w:sz="1" w:space="0" w:color="AAAAAA"/>
              <w:bottom w:val="single" w:sz="1" w:space="0" w:color="AAAAAA"/>
              <w:right w:val="single" w:sz="1" w:space="0" w:color="AAAAAA"/>
            </w:tcBorders>
            <w:shd w:val="clear" w:color="auto" w:fill="1A6B72"/>
            <w:tcMar>
              <w:top w:w="100" w:type="dxa"/>
              <w:left w:w="120" w:type="dxa"/>
              <w:bottom w:w="100" w:type="dxa"/>
              <w:right w:w="120" w:type="dxa"/>
            </w:tcMar>
            <w:vAlign w:val="center"/>
          </w:tcPr>
          <w:p w14:paraId="0886C0F7" w14:textId="77777777" w:rsidR="00D3621F" w:rsidRDefault="00D3621F" w:rsidP="001C0275">
            <w:pPr>
              <w:jc w:val="center"/>
            </w:pPr>
            <w:r>
              <w:rPr>
                <w:rFonts w:ascii="Arial" w:eastAsia="Arial" w:hAnsi="Arial" w:cs="Arial"/>
                <w:b/>
                <w:bCs/>
                <w:color w:val="FFFFFF"/>
                <w:sz w:val="20"/>
                <w:szCs w:val="20"/>
              </w:rPr>
              <w:t>Indicators</w:t>
            </w:r>
          </w:p>
        </w:tc>
        <w:tc>
          <w:tcPr>
            <w:tcW w:w="984" w:type="pct"/>
            <w:tcBorders>
              <w:top w:val="single" w:sz="1" w:space="0" w:color="AAAAAA"/>
              <w:left w:val="single" w:sz="1" w:space="0" w:color="AAAAAA"/>
              <w:bottom w:val="single" w:sz="1" w:space="0" w:color="AAAAAA"/>
              <w:right w:val="single" w:sz="1" w:space="0" w:color="AAAAAA"/>
            </w:tcBorders>
            <w:shd w:val="clear" w:color="auto" w:fill="1A6B72"/>
            <w:tcMar>
              <w:top w:w="100" w:type="dxa"/>
              <w:left w:w="120" w:type="dxa"/>
              <w:bottom w:w="100" w:type="dxa"/>
              <w:right w:w="120" w:type="dxa"/>
            </w:tcMar>
            <w:vAlign w:val="center"/>
          </w:tcPr>
          <w:p w14:paraId="34A5873E" w14:textId="77777777" w:rsidR="00D3621F" w:rsidRDefault="00D3621F" w:rsidP="001C0275">
            <w:pPr>
              <w:jc w:val="center"/>
            </w:pPr>
            <w:r>
              <w:rPr>
                <w:rFonts w:ascii="Arial" w:eastAsia="Arial" w:hAnsi="Arial" w:cs="Arial"/>
                <w:b/>
                <w:bCs/>
                <w:color w:val="FFFFFF"/>
                <w:sz w:val="20"/>
                <w:szCs w:val="20"/>
              </w:rPr>
              <w:t>Sources of Verification</w:t>
            </w:r>
          </w:p>
        </w:tc>
        <w:tc>
          <w:tcPr>
            <w:tcW w:w="1138" w:type="pct"/>
            <w:tcBorders>
              <w:top w:val="single" w:sz="1" w:space="0" w:color="AAAAAA"/>
              <w:left w:val="single" w:sz="1" w:space="0" w:color="AAAAAA"/>
              <w:bottom w:val="single" w:sz="1" w:space="0" w:color="AAAAAA"/>
              <w:right w:val="single" w:sz="1" w:space="0" w:color="AAAAAA"/>
            </w:tcBorders>
            <w:shd w:val="clear" w:color="auto" w:fill="1A6B72"/>
            <w:tcMar>
              <w:top w:w="100" w:type="dxa"/>
              <w:left w:w="120" w:type="dxa"/>
              <w:bottom w:w="100" w:type="dxa"/>
              <w:right w:w="120" w:type="dxa"/>
            </w:tcMar>
            <w:vAlign w:val="center"/>
          </w:tcPr>
          <w:p w14:paraId="4D422240" w14:textId="77777777" w:rsidR="00D3621F" w:rsidRDefault="00D3621F" w:rsidP="001C0275">
            <w:pPr>
              <w:jc w:val="center"/>
            </w:pPr>
            <w:r>
              <w:rPr>
                <w:rFonts w:ascii="Arial" w:eastAsia="Arial" w:hAnsi="Arial" w:cs="Arial"/>
                <w:b/>
                <w:bCs/>
                <w:color w:val="FFFFFF"/>
                <w:sz w:val="20"/>
                <w:szCs w:val="20"/>
              </w:rPr>
              <w:t>Assumptions</w:t>
            </w:r>
          </w:p>
        </w:tc>
      </w:tr>
      <w:tr w:rsidR="00D3621F" w14:paraId="671674AF" w14:textId="77777777" w:rsidTr="00D3621F">
        <w:tblPrEx>
          <w:tblCellMar>
            <w:top w:w="0" w:type="dxa"/>
            <w:bottom w:w="0" w:type="dxa"/>
          </w:tblCellMar>
        </w:tblPrEx>
        <w:tc>
          <w:tcPr>
            <w:tcW w:w="717" w:type="pct"/>
            <w:tcBorders>
              <w:top w:val="single" w:sz="1" w:space="0" w:color="AAAAAA"/>
              <w:left w:val="single" w:sz="1" w:space="0" w:color="AAAAAA"/>
              <w:bottom w:val="single" w:sz="1" w:space="0" w:color="AAAAAA"/>
              <w:right w:val="single" w:sz="1" w:space="0" w:color="AAAAAA"/>
            </w:tcBorders>
            <w:shd w:val="clear" w:color="auto" w:fill="1A6B72"/>
            <w:tcMar>
              <w:top w:w="100" w:type="dxa"/>
              <w:left w:w="120" w:type="dxa"/>
              <w:bottom w:w="100" w:type="dxa"/>
              <w:right w:w="120" w:type="dxa"/>
            </w:tcMar>
            <w:vAlign w:val="center"/>
          </w:tcPr>
          <w:p w14:paraId="21040308" w14:textId="77777777" w:rsidR="00D3621F" w:rsidRDefault="00D3621F" w:rsidP="001C0275">
            <w:pPr>
              <w:jc w:val="center"/>
            </w:pPr>
            <w:r>
              <w:rPr>
                <w:rFonts w:ascii="Arial" w:eastAsia="Arial" w:hAnsi="Arial" w:cs="Arial"/>
                <w:b/>
                <w:bCs/>
                <w:color w:val="FFFFFF"/>
                <w:sz w:val="20"/>
                <w:szCs w:val="20"/>
              </w:rPr>
              <w:t>IMPACT</w:t>
            </w:r>
          </w:p>
        </w:tc>
        <w:tc>
          <w:tcPr>
            <w:tcW w:w="995" w:type="pct"/>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31F4FD15" w14:textId="77777777" w:rsidR="00D3621F" w:rsidRDefault="00D3621F" w:rsidP="001C0275">
            <w:pPr>
              <w:spacing w:after="40"/>
            </w:pPr>
            <w:r>
              <w:rPr>
                <w:rFonts w:ascii="Arial" w:eastAsia="Arial" w:hAnsi="Arial" w:cs="Arial"/>
                <w:b/>
                <w:bCs/>
                <w:color w:val="1A1A2E"/>
                <w:sz w:val="20"/>
                <w:szCs w:val="20"/>
              </w:rPr>
              <w:t>Break the intergenerational cycle of GBV</w:t>
            </w:r>
          </w:p>
          <w:p w14:paraId="1E9DEACB" w14:textId="77777777" w:rsidR="00D3621F" w:rsidRDefault="00D3621F" w:rsidP="001C0275">
            <w:r>
              <w:rPr>
                <w:rFonts w:ascii="Arial" w:eastAsia="Arial" w:hAnsi="Arial" w:cs="Arial"/>
                <w:i/>
                <w:iCs/>
                <w:color w:val="555555"/>
                <w:sz w:val="18"/>
                <w:szCs w:val="18"/>
              </w:rPr>
              <w:t>Long-term societal and individual freedom from cycles of violence</w:t>
            </w:r>
          </w:p>
        </w:tc>
        <w:tc>
          <w:tcPr>
            <w:tcW w:w="1166" w:type="pct"/>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2B453142" w14:textId="77777777" w:rsidR="00D3621F" w:rsidRDefault="00D3621F" w:rsidP="001C0275">
            <w:r>
              <w:rPr>
                <w:rFonts w:ascii="Arial" w:eastAsia="Arial" w:hAnsi="Arial" w:cs="Arial"/>
                <w:color w:val="1A1A2E"/>
                <w:sz w:val="19"/>
                <w:szCs w:val="19"/>
              </w:rPr>
              <w:t>•  Rates of violence perpetration or victimisation among programme graduates in adulthood (self-reported and administrative)</w:t>
            </w:r>
          </w:p>
          <w:p w14:paraId="187F7DB5" w14:textId="77777777" w:rsidR="00D3621F" w:rsidRDefault="00D3621F" w:rsidP="001C0275">
            <w:pPr>
              <w:spacing w:before="50"/>
            </w:pPr>
            <w:r>
              <w:rPr>
                <w:rFonts w:ascii="Arial" w:eastAsia="Arial" w:hAnsi="Arial" w:cs="Arial"/>
                <w:color w:val="1A1A2E"/>
                <w:sz w:val="19"/>
                <w:szCs w:val="19"/>
              </w:rPr>
              <w:t>•  Economic stability indicators: sustained employment, post-secondary enrolment, stable income at 5- and 10-year follow-up</w:t>
            </w:r>
          </w:p>
          <w:p w14:paraId="6E063C3A" w14:textId="77777777" w:rsidR="00D3621F" w:rsidRDefault="00D3621F" w:rsidP="001C0275">
            <w:pPr>
              <w:spacing w:before="50"/>
            </w:pPr>
            <w:r>
              <w:rPr>
                <w:rFonts w:ascii="Arial" w:eastAsia="Arial" w:hAnsi="Arial" w:cs="Arial"/>
                <w:color w:val="1A1A2E"/>
                <w:sz w:val="19"/>
                <w:szCs w:val="19"/>
              </w:rPr>
              <w:t>•  Rates of healthy, non-violent intimate and family relationships in adulthood</w:t>
            </w:r>
          </w:p>
        </w:tc>
        <w:tc>
          <w:tcPr>
            <w:tcW w:w="984" w:type="pct"/>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0041751C" w14:textId="77777777" w:rsidR="00D3621F" w:rsidRDefault="00D3621F" w:rsidP="001C0275">
            <w:r>
              <w:rPr>
                <w:rFonts w:ascii="Arial" w:eastAsia="Arial" w:hAnsi="Arial" w:cs="Arial"/>
                <w:color w:val="1A1A2E"/>
                <w:sz w:val="19"/>
                <w:szCs w:val="19"/>
              </w:rPr>
              <w:t>•  Long-term follow-up surveys (5 and 10 years post-programme)</w:t>
            </w:r>
          </w:p>
          <w:p w14:paraId="6A366658" w14:textId="77777777" w:rsidR="00D3621F" w:rsidRDefault="00D3621F" w:rsidP="001C0275">
            <w:pPr>
              <w:spacing w:before="50"/>
            </w:pPr>
            <w:r>
              <w:rPr>
                <w:rFonts w:ascii="Arial" w:eastAsia="Arial" w:hAnsi="Arial" w:cs="Arial"/>
                <w:color w:val="1A1A2E"/>
                <w:sz w:val="19"/>
                <w:szCs w:val="19"/>
              </w:rPr>
              <w:t>•  Police and court records</w:t>
            </w:r>
          </w:p>
          <w:p w14:paraId="4401407F" w14:textId="77777777" w:rsidR="00D3621F" w:rsidRDefault="00D3621F" w:rsidP="001C0275">
            <w:pPr>
              <w:spacing w:before="50"/>
            </w:pPr>
            <w:r>
              <w:rPr>
                <w:rFonts w:ascii="Arial" w:eastAsia="Arial" w:hAnsi="Arial" w:cs="Arial"/>
                <w:color w:val="1A1A2E"/>
                <w:sz w:val="19"/>
                <w:szCs w:val="19"/>
              </w:rPr>
              <w:t>•  Self-reported data using validated instruments</w:t>
            </w:r>
          </w:p>
          <w:p w14:paraId="7F141A08" w14:textId="77777777" w:rsidR="00D3621F" w:rsidRDefault="00D3621F" w:rsidP="001C0275">
            <w:pPr>
              <w:spacing w:before="50"/>
            </w:pPr>
            <w:r>
              <w:rPr>
                <w:rFonts w:ascii="Arial" w:eastAsia="Arial" w:hAnsi="Arial" w:cs="Arial"/>
                <w:color w:val="1A1A2E"/>
                <w:sz w:val="19"/>
                <w:szCs w:val="19"/>
              </w:rPr>
              <w:t>•  National / regional administrative data on employment and education</w:t>
            </w:r>
          </w:p>
        </w:tc>
        <w:tc>
          <w:tcPr>
            <w:tcW w:w="1138" w:type="pct"/>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41379333" w14:textId="77777777" w:rsidR="00D3621F" w:rsidRDefault="00D3621F" w:rsidP="001C0275">
            <w:r>
              <w:rPr>
                <w:rFonts w:ascii="Arial" w:eastAsia="Arial" w:hAnsi="Arial" w:cs="Arial"/>
                <w:color w:val="1A1A2E"/>
                <w:sz w:val="19"/>
                <w:szCs w:val="19"/>
              </w:rPr>
              <w:t>•  Programme effects persist beyond the intervention period (supported by STYL 10-year evidence)</w:t>
            </w:r>
          </w:p>
          <w:p w14:paraId="0C16F3C2" w14:textId="77777777" w:rsidR="00D3621F" w:rsidRDefault="00D3621F" w:rsidP="001C0275">
            <w:pPr>
              <w:spacing w:before="50"/>
            </w:pPr>
            <w:r>
              <w:rPr>
                <w:rFonts w:ascii="Arial" w:eastAsia="Arial" w:hAnsi="Arial" w:cs="Arial"/>
                <w:color w:val="1A1A2E"/>
                <w:sz w:val="19"/>
                <w:szCs w:val="19"/>
              </w:rPr>
              <w:t>•  Broader social, economic, and policy environment does not systematically undermine therapeutic gains</w:t>
            </w:r>
          </w:p>
          <w:p w14:paraId="6791FFFD" w14:textId="77777777" w:rsidR="00D3621F" w:rsidRDefault="00D3621F" w:rsidP="001C0275">
            <w:pPr>
              <w:spacing w:before="50"/>
            </w:pPr>
            <w:r>
              <w:rPr>
                <w:rFonts w:ascii="Arial" w:eastAsia="Arial" w:hAnsi="Arial" w:cs="Arial"/>
                <w:color w:val="1A1A2E"/>
                <w:sz w:val="19"/>
                <w:szCs w:val="19"/>
              </w:rPr>
              <w:t>•  Graduates maintain access to support structures in adulthood if needed</w:t>
            </w:r>
          </w:p>
        </w:tc>
      </w:tr>
      <w:tr w:rsidR="00D3621F" w14:paraId="701C8074" w14:textId="77777777" w:rsidTr="00D3621F">
        <w:tblPrEx>
          <w:tblCellMar>
            <w:top w:w="0" w:type="dxa"/>
            <w:bottom w:w="0" w:type="dxa"/>
          </w:tblCellMar>
        </w:tblPrEx>
        <w:tc>
          <w:tcPr>
            <w:tcW w:w="717" w:type="pct"/>
            <w:tcBorders>
              <w:top w:val="single" w:sz="1" w:space="0" w:color="AAAAAA"/>
              <w:left w:val="single" w:sz="1" w:space="0" w:color="AAAAAA"/>
              <w:bottom w:val="single" w:sz="1" w:space="0" w:color="AAAAAA"/>
              <w:right w:val="single" w:sz="1" w:space="0" w:color="AAAAAA"/>
            </w:tcBorders>
            <w:shd w:val="clear" w:color="auto" w:fill="2E9AA3"/>
            <w:tcMar>
              <w:top w:w="100" w:type="dxa"/>
              <w:left w:w="120" w:type="dxa"/>
              <w:bottom w:w="100" w:type="dxa"/>
              <w:right w:w="120" w:type="dxa"/>
            </w:tcMar>
            <w:vAlign w:val="center"/>
          </w:tcPr>
          <w:p w14:paraId="63874D5E" w14:textId="77777777" w:rsidR="00D3621F" w:rsidRDefault="00D3621F" w:rsidP="001C0275">
            <w:pPr>
              <w:jc w:val="center"/>
            </w:pPr>
            <w:r>
              <w:rPr>
                <w:rFonts w:ascii="Arial" w:eastAsia="Arial" w:hAnsi="Arial" w:cs="Arial"/>
                <w:b/>
                <w:bCs/>
                <w:color w:val="FFFFFF"/>
                <w:sz w:val="20"/>
                <w:szCs w:val="20"/>
              </w:rPr>
              <w:t>OUTCOME</w:t>
            </w:r>
          </w:p>
        </w:tc>
        <w:tc>
          <w:tcPr>
            <w:tcW w:w="995" w:type="pct"/>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8AFE949" w14:textId="77777777" w:rsidR="00D3621F" w:rsidRDefault="00D3621F" w:rsidP="001C0275">
            <w:pPr>
              <w:spacing w:after="40"/>
            </w:pPr>
            <w:r>
              <w:rPr>
                <w:rFonts w:ascii="Arial" w:eastAsia="Arial" w:hAnsi="Arial" w:cs="Arial"/>
                <w:b/>
                <w:bCs/>
                <w:color w:val="1A1A2E"/>
                <w:sz w:val="20"/>
                <w:szCs w:val="20"/>
              </w:rPr>
              <w:t>Improved psychological wellbeing enabling sustained academic and social functioning</w:t>
            </w:r>
          </w:p>
          <w:p w14:paraId="6F958310" w14:textId="77777777" w:rsidR="00D3621F" w:rsidRDefault="00D3621F" w:rsidP="001C0275">
            <w:r>
              <w:rPr>
                <w:rFonts w:ascii="Arial" w:eastAsia="Arial" w:hAnsi="Arial" w:cs="Arial"/>
                <w:i/>
                <w:iCs/>
                <w:color w:val="555555"/>
                <w:sz w:val="18"/>
                <w:szCs w:val="18"/>
              </w:rPr>
              <w:t>Stabilised wellbeing as the foundation for re-engagement in education and relationships</w:t>
            </w:r>
          </w:p>
        </w:tc>
        <w:tc>
          <w:tcPr>
            <w:tcW w:w="1166" w:type="pct"/>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5D1EC14" w14:textId="77777777" w:rsidR="00D3621F" w:rsidRDefault="00D3621F" w:rsidP="001C0275">
            <w:r>
              <w:rPr>
                <w:rFonts w:ascii="Arial" w:eastAsia="Arial" w:hAnsi="Arial" w:cs="Arial"/>
                <w:color w:val="1A1A2E"/>
                <w:sz w:val="19"/>
                <w:szCs w:val="19"/>
              </w:rPr>
              <w:t>•  Grade point average at 6 and 12 months post-programme</w:t>
            </w:r>
          </w:p>
          <w:p w14:paraId="715AB16D" w14:textId="77777777" w:rsidR="00D3621F" w:rsidRDefault="00D3621F" w:rsidP="001C0275">
            <w:pPr>
              <w:spacing w:before="50"/>
            </w:pPr>
            <w:r>
              <w:rPr>
                <w:rFonts w:ascii="Arial" w:eastAsia="Arial" w:hAnsi="Arial" w:cs="Arial"/>
                <w:color w:val="1A1A2E"/>
                <w:sz w:val="19"/>
                <w:szCs w:val="19"/>
              </w:rPr>
              <w:t xml:space="preserve">•  School attendance rate </w:t>
            </w:r>
          </w:p>
          <w:p w14:paraId="3F558D98" w14:textId="4F1A4EF8" w:rsidR="00D3621F" w:rsidRDefault="00D3621F" w:rsidP="001C0275">
            <w:pPr>
              <w:spacing w:before="50"/>
            </w:pPr>
            <w:r>
              <w:rPr>
                <w:rFonts w:ascii="Arial" w:eastAsia="Arial" w:hAnsi="Arial" w:cs="Arial"/>
                <w:color w:val="1A1A2E"/>
                <w:sz w:val="19"/>
                <w:szCs w:val="19"/>
              </w:rPr>
              <w:t>•  Enrol</w:t>
            </w:r>
            <w:r w:rsidR="00E7002B">
              <w:rPr>
                <w:color w:val="1A1A2E"/>
                <w:sz w:val="19"/>
                <w:szCs w:val="19"/>
                <w:lang w:val="en-US"/>
              </w:rPr>
              <w:t>l</w:t>
            </w:r>
            <w:r>
              <w:rPr>
                <w:rFonts w:ascii="Arial" w:eastAsia="Arial" w:hAnsi="Arial" w:cs="Arial"/>
                <w:color w:val="1A1A2E"/>
                <w:sz w:val="19"/>
                <w:szCs w:val="19"/>
              </w:rPr>
              <w:t>ment, grade progression, and graduation rates</w:t>
            </w:r>
          </w:p>
          <w:p w14:paraId="5025E8BE" w14:textId="77777777" w:rsidR="00D3621F" w:rsidRDefault="00D3621F" w:rsidP="001C0275">
            <w:pPr>
              <w:spacing w:before="50"/>
            </w:pPr>
            <w:r>
              <w:rPr>
                <w:rFonts w:ascii="Arial" w:eastAsia="Arial" w:hAnsi="Arial" w:cs="Arial"/>
                <w:color w:val="1A1A2E"/>
                <w:sz w:val="19"/>
                <w:szCs w:val="19"/>
              </w:rPr>
              <w:t>•  % of participants reporting positive peer relationships and reduced social withdrawal</w:t>
            </w:r>
          </w:p>
        </w:tc>
        <w:tc>
          <w:tcPr>
            <w:tcW w:w="984" w:type="pct"/>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95EA9C6" w14:textId="77777777" w:rsidR="00D3621F" w:rsidRDefault="00D3621F" w:rsidP="001C0275">
            <w:r>
              <w:rPr>
                <w:rFonts w:ascii="Arial" w:eastAsia="Arial" w:hAnsi="Arial" w:cs="Arial"/>
                <w:color w:val="1A1A2E"/>
                <w:sz w:val="19"/>
                <w:szCs w:val="19"/>
              </w:rPr>
              <w:t>•  Annual follow-up surveys with participants and caregivers</w:t>
            </w:r>
          </w:p>
          <w:p w14:paraId="1FA3E839" w14:textId="77777777" w:rsidR="00D3621F" w:rsidRDefault="00D3621F" w:rsidP="001C0275">
            <w:pPr>
              <w:spacing w:before="50"/>
            </w:pPr>
            <w:r>
              <w:rPr>
                <w:rFonts w:ascii="Arial" w:eastAsia="Arial" w:hAnsi="Arial" w:cs="Arial"/>
                <w:color w:val="1A1A2E"/>
                <w:sz w:val="19"/>
                <w:szCs w:val="19"/>
              </w:rPr>
              <w:t>•  School records (attendance registers, report cards, enrolment data)</w:t>
            </w:r>
          </w:p>
          <w:p w14:paraId="6E109DA2" w14:textId="77777777" w:rsidR="00D3621F" w:rsidRDefault="00D3621F" w:rsidP="001C0275">
            <w:pPr>
              <w:spacing w:before="50"/>
            </w:pPr>
            <w:r>
              <w:rPr>
                <w:rFonts w:ascii="Arial" w:eastAsia="Arial" w:hAnsi="Arial" w:cs="Arial"/>
                <w:color w:val="1A1A2E"/>
                <w:sz w:val="19"/>
                <w:szCs w:val="19"/>
              </w:rPr>
              <w:t xml:space="preserve">• </w:t>
            </w:r>
            <w:r>
              <w:rPr>
                <w:rFonts w:ascii="Arial" w:eastAsia="Arial" w:hAnsi="Arial" w:cs="Arial"/>
                <w:color w:val="1A1A2E"/>
                <w:sz w:val="19"/>
                <w:szCs w:val="19"/>
                <w:lang w:val="en-US"/>
              </w:rPr>
              <w:t xml:space="preserve"> </w:t>
            </w:r>
            <w:r>
              <w:rPr>
                <w:rFonts w:ascii="Arial" w:eastAsia="Arial" w:hAnsi="Arial" w:cs="Arial"/>
                <w:color w:val="1A1A2E"/>
                <w:sz w:val="19"/>
                <w:szCs w:val="19"/>
              </w:rPr>
              <w:t>Standardised assessment tools administered at 6 and 12 months</w:t>
            </w:r>
          </w:p>
        </w:tc>
        <w:tc>
          <w:tcPr>
            <w:tcW w:w="1138" w:type="pct"/>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E7C4245" w14:textId="77777777" w:rsidR="00D3621F" w:rsidRDefault="00D3621F" w:rsidP="001C0275">
            <w:r>
              <w:rPr>
                <w:rFonts w:ascii="Arial" w:eastAsia="Arial" w:hAnsi="Arial" w:cs="Arial"/>
                <w:color w:val="1A1A2E"/>
                <w:sz w:val="19"/>
                <w:szCs w:val="19"/>
              </w:rPr>
              <w:t>•  School environments are safe and supportive of children’s return and continued attendance</w:t>
            </w:r>
          </w:p>
          <w:p w14:paraId="500712A1" w14:textId="77777777" w:rsidR="00D3621F" w:rsidRDefault="00D3621F" w:rsidP="001C0275">
            <w:pPr>
              <w:spacing w:before="50"/>
            </w:pPr>
            <w:r>
              <w:rPr>
                <w:rFonts w:ascii="Arial" w:eastAsia="Arial" w:hAnsi="Arial" w:cs="Arial"/>
                <w:color w:val="1A1A2E"/>
                <w:sz w:val="19"/>
                <w:szCs w:val="19"/>
              </w:rPr>
              <w:t>•  Improvements in psychological wellbeing translate into improved academic engagement (supported by BAM graduation-rate evidence)</w:t>
            </w:r>
          </w:p>
          <w:p w14:paraId="3A6281DB" w14:textId="77777777" w:rsidR="00D3621F" w:rsidRDefault="00D3621F" w:rsidP="001C0275">
            <w:pPr>
              <w:spacing w:before="50"/>
            </w:pPr>
            <w:r>
              <w:rPr>
                <w:rFonts w:ascii="Arial" w:eastAsia="Arial" w:hAnsi="Arial" w:cs="Arial"/>
                <w:color w:val="1A1A2E"/>
                <w:sz w:val="19"/>
                <w:szCs w:val="19"/>
              </w:rPr>
              <w:t>•  Families remain in sufficient stability to support school attendance</w:t>
            </w:r>
          </w:p>
        </w:tc>
      </w:tr>
      <w:tr w:rsidR="00D3621F" w14:paraId="64539626" w14:textId="77777777" w:rsidTr="00D3621F">
        <w:tblPrEx>
          <w:tblCellMar>
            <w:top w:w="0" w:type="dxa"/>
            <w:bottom w:w="0" w:type="dxa"/>
          </w:tblCellMar>
        </w:tblPrEx>
        <w:tc>
          <w:tcPr>
            <w:tcW w:w="717" w:type="pct"/>
            <w:tcBorders>
              <w:top w:val="single" w:sz="1" w:space="0" w:color="AAAAAA"/>
              <w:left w:val="single" w:sz="1" w:space="0" w:color="AAAAAA"/>
              <w:bottom w:val="single" w:sz="1" w:space="0" w:color="AAAAAA"/>
              <w:right w:val="single" w:sz="1" w:space="0" w:color="AAAAAA"/>
            </w:tcBorders>
            <w:shd w:val="clear" w:color="auto" w:fill="48B5BE"/>
            <w:tcMar>
              <w:top w:w="100" w:type="dxa"/>
              <w:left w:w="120" w:type="dxa"/>
              <w:bottom w:w="100" w:type="dxa"/>
              <w:right w:w="120" w:type="dxa"/>
            </w:tcMar>
            <w:vAlign w:val="center"/>
          </w:tcPr>
          <w:p w14:paraId="1078D070" w14:textId="77777777" w:rsidR="00D3621F" w:rsidRDefault="00D3621F" w:rsidP="001C0275">
            <w:pPr>
              <w:jc w:val="center"/>
            </w:pPr>
            <w:r>
              <w:rPr>
                <w:rFonts w:ascii="Arial" w:eastAsia="Arial" w:hAnsi="Arial" w:cs="Arial"/>
                <w:b/>
                <w:bCs/>
                <w:color w:val="FFFFFF"/>
                <w:sz w:val="20"/>
                <w:szCs w:val="20"/>
              </w:rPr>
              <w:t>OUTPUT</w:t>
            </w:r>
          </w:p>
        </w:tc>
        <w:tc>
          <w:tcPr>
            <w:tcW w:w="995" w:type="pct"/>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05E11A8E" w14:textId="77777777" w:rsidR="00D3621F" w:rsidRDefault="00D3621F" w:rsidP="001C0275">
            <w:pPr>
              <w:spacing w:after="40"/>
            </w:pPr>
            <w:r>
              <w:rPr>
                <w:rFonts w:ascii="Arial" w:eastAsia="Arial" w:hAnsi="Arial" w:cs="Arial"/>
                <w:b/>
                <w:bCs/>
                <w:color w:val="1A1A2E"/>
                <w:sz w:val="20"/>
                <w:szCs w:val="20"/>
              </w:rPr>
              <w:t>Reduced trauma symptoms and strengthened emotional regulation</w:t>
            </w:r>
          </w:p>
          <w:p w14:paraId="27C4601A" w14:textId="77777777" w:rsidR="00D3621F" w:rsidRDefault="00D3621F" w:rsidP="001C0275">
            <w:r>
              <w:rPr>
                <w:rFonts w:ascii="Arial" w:eastAsia="Arial" w:hAnsi="Arial" w:cs="Arial"/>
                <w:i/>
                <w:iCs/>
                <w:color w:val="555555"/>
                <w:sz w:val="18"/>
                <w:szCs w:val="18"/>
              </w:rPr>
              <w:t>Measurable therapeutic change in children completing the programme</w:t>
            </w:r>
          </w:p>
        </w:tc>
        <w:tc>
          <w:tcPr>
            <w:tcW w:w="1166" w:type="pct"/>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33A786DC" w14:textId="77777777" w:rsidR="00D3621F" w:rsidRDefault="00D3621F" w:rsidP="001C0275">
            <w:r>
              <w:rPr>
                <w:rFonts w:ascii="Arial" w:eastAsia="Arial" w:hAnsi="Arial" w:cs="Arial"/>
                <w:color w:val="1A1A2E"/>
                <w:sz w:val="19"/>
                <w:szCs w:val="19"/>
              </w:rPr>
              <w:t>•  % reduction in trauma symptom scores (UCLA PTSD Reaction Index or equivalent), pre/post</w:t>
            </w:r>
          </w:p>
          <w:p w14:paraId="3CED6F5A" w14:textId="77777777" w:rsidR="00D3621F" w:rsidRDefault="00D3621F" w:rsidP="001C0275">
            <w:pPr>
              <w:spacing w:before="50"/>
            </w:pPr>
            <w:r>
              <w:rPr>
                <w:rFonts w:ascii="Arial" w:eastAsia="Arial" w:hAnsi="Arial" w:cs="Arial"/>
                <w:color w:val="1A1A2E"/>
                <w:sz w:val="19"/>
                <w:szCs w:val="19"/>
              </w:rPr>
              <w:t>•  % improvement in emotional regulation scores (pre/post)</w:t>
            </w:r>
          </w:p>
          <w:p w14:paraId="7BD5A9D5" w14:textId="77777777" w:rsidR="00D3621F" w:rsidRDefault="00D3621F" w:rsidP="001C0275">
            <w:pPr>
              <w:spacing w:before="50"/>
            </w:pPr>
            <w:r>
              <w:rPr>
                <w:rFonts w:ascii="Arial" w:eastAsia="Arial" w:hAnsi="Arial" w:cs="Arial"/>
                <w:color w:val="1A1A2E"/>
                <w:sz w:val="19"/>
                <w:szCs w:val="19"/>
              </w:rPr>
              <w:t>•  % of participants reporting an increased sense of personal safety</w:t>
            </w:r>
          </w:p>
        </w:tc>
        <w:tc>
          <w:tcPr>
            <w:tcW w:w="984" w:type="pct"/>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4EE13DEC" w14:textId="77777777" w:rsidR="00D3621F" w:rsidRDefault="00D3621F" w:rsidP="001C0275">
            <w:r>
              <w:rPr>
                <w:rFonts w:ascii="Arial" w:eastAsia="Arial" w:hAnsi="Arial" w:cs="Arial"/>
                <w:color w:val="1A1A2E"/>
                <w:sz w:val="19"/>
                <w:szCs w:val="19"/>
              </w:rPr>
              <w:t>•  Pre/post validated screening tools (UCLA PTSD-RI, SCARED, or equivalent)</w:t>
            </w:r>
          </w:p>
          <w:p w14:paraId="32117627" w14:textId="77777777" w:rsidR="00D3621F" w:rsidRDefault="00D3621F" w:rsidP="001C0275">
            <w:pPr>
              <w:spacing w:before="50"/>
            </w:pPr>
            <w:r>
              <w:rPr>
                <w:rFonts w:ascii="Arial" w:eastAsia="Arial" w:hAnsi="Arial" w:cs="Arial"/>
                <w:color w:val="1A1A2E"/>
                <w:sz w:val="19"/>
                <w:szCs w:val="19"/>
              </w:rPr>
              <w:t>•  Facilitator observation logs and clinical supervision records</w:t>
            </w:r>
          </w:p>
          <w:p w14:paraId="62EE93D4" w14:textId="77777777" w:rsidR="00D3621F" w:rsidRDefault="00D3621F" w:rsidP="001C0275">
            <w:pPr>
              <w:spacing w:before="50"/>
            </w:pPr>
            <w:r>
              <w:rPr>
                <w:rFonts w:ascii="Arial" w:eastAsia="Arial" w:hAnsi="Arial" w:cs="Arial"/>
                <w:color w:val="1A1A2E"/>
                <w:sz w:val="19"/>
                <w:szCs w:val="19"/>
              </w:rPr>
              <w:t>•  Participant self-report surveys at completion and 6-month follow-up</w:t>
            </w:r>
          </w:p>
        </w:tc>
        <w:tc>
          <w:tcPr>
            <w:tcW w:w="1138" w:type="pct"/>
            <w:tcBorders>
              <w:top w:val="single" w:sz="1" w:space="0" w:color="AAAAAA"/>
              <w:left w:val="single" w:sz="1" w:space="0" w:color="AAAAAA"/>
              <w:bottom w:val="single" w:sz="1" w:space="0" w:color="AAAAAA"/>
              <w:right w:val="single" w:sz="1" w:space="0" w:color="AAAAAA"/>
            </w:tcBorders>
            <w:shd w:val="clear" w:color="auto" w:fill="E8F4F5"/>
            <w:tcMar>
              <w:top w:w="100" w:type="dxa"/>
              <w:left w:w="120" w:type="dxa"/>
              <w:bottom w:w="100" w:type="dxa"/>
              <w:right w:w="120" w:type="dxa"/>
            </w:tcMar>
          </w:tcPr>
          <w:p w14:paraId="75AA07CD" w14:textId="77777777" w:rsidR="00D3621F" w:rsidRDefault="00D3621F" w:rsidP="001C0275">
            <w:r>
              <w:rPr>
                <w:rFonts w:ascii="Arial" w:eastAsia="Arial" w:hAnsi="Arial" w:cs="Arial"/>
                <w:color w:val="1A1A2E"/>
                <w:sz w:val="19"/>
                <w:szCs w:val="19"/>
              </w:rPr>
              <w:t>•  Participants attend a sufficient number of sessions to experience therapeutic benefit</w:t>
            </w:r>
          </w:p>
          <w:p w14:paraId="16FA30DF" w14:textId="77777777" w:rsidR="00D3621F" w:rsidRDefault="00D3621F" w:rsidP="001C0275">
            <w:pPr>
              <w:spacing w:before="50"/>
            </w:pPr>
            <w:r>
              <w:rPr>
                <w:rFonts w:ascii="Arial" w:eastAsia="Arial" w:hAnsi="Arial" w:cs="Arial"/>
                <w:color w:val="1A1A2E"/>
                <w:sz w:val="19"/>
                <w:szCs w:val="19"/>
              </w:rPr>
              <w:t>•  Children are not in continued contact with the abusive parent in a way that re-traumatises them during treatment</w:t>
            </w:r>
          </w:p>
          <w:p w14:paraId="173195FC" w14:textId="77777777" w:rsidR="00D3621F" w:rsidRDefault="00D3621F" w:rsidP="001C0275">
            <w:pPr>
              <w:spacing w:before="50"/>
            </w:pPr>
            <w:r>
              <w:rPr>
                <w:rFonts w:ascii="Arial" w:eastAsia="Arial" w:hAnsi="Arial" w:cs="Arial"/>
                <w:color w:val="1A1A2E"/>
                <w:sz w:val="19"/>
                <w:szCs w:val="19"/>
              </w:rPr>
              <w:t>•  Facilitators implement the CBT curriculum with fidelity</w:t>
            </w:r>
          </w:p>
        </w:tc>
      </w:tr>
      <w:tr w:rsidR="00D3621F" w14:paraId="7C5D232B" w14:textId="77777777" w:rsidTr="00D3621F">
        <w:tblPrEx>
          <w:tblCellMar>
            <w:top w:w="0" w:type="dxa"/>
            <w:bottom w:w="0" w:type="dxa"/>
          </w:tblCellMar>
        </w:tblPrEx>
        <w:tc>
          <w:tcPr>
            <w:tcW w:w="717" w:type="pct"/>
            <w:tcBorders>
              <w:top w:val="single" w:sz="1" w:space="0" w:color="AAAAAA"/>
              <w:left w:val="single" w:sz="1" w:space="0" w:color="AAAAAA"/>
              <w:bottom w:val="single" w:sz="1" w:space="0" w:color="AAAAAA"/>
              <w:right w:val="single" w:sz="1" w:space="0" w:color="AAAAAA"/>
            </w:tcBorders>
            <w:shd w:val="clear" w:color="auto" w:fill="7DD4DA"/>
            <w:tcMar>
              <w:top w:w="100" w:type="dxa"/>
              <w:left w:w="120" w:type="dxa"/>
              <w:bottom w:w="100" w:type="dxa"/>
              <w:right w:w="120" w:type="dxa"/>
            </w:tcMar>
            <w:vAlign w:val="center"/>
          </w:tcPr>
          <w:p w14:paraId="75B41315" w14:textId="77777777" w:rsidR="00D3621F" w:rsidRDefault="00D3621F" w:rsidP="001C0275">
            <w:pPr>
              <w:jc w:val="center"/>
            </w:pPr>
            <w:r>
              <w:rPr>
                <w:rFonts w:ascii="Arial" w:eastAsia="Arial" w:hAnsi="Arial" w:cs="Arial"/>
                <w:b/>
                <w:bCs/>
                <w:color w:val="FFFFFF"/>
                <w:sz w:val="20"/>
                <w:szCs w:val="20"/>
              </w:rPr>
              <w:t>INPUT / ACTIVITIES</w:t>
            </w:r>
          </w:p>
        </w:tc>
        <w:tc>
          <w:tcPr>
            <w:tcW w:w="995" w:type="pct"/>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84D0052" w14:textId="77777777" w:rsidR="00D3621F" w:rsidRDefault="00D3621F" w:rsidP="001C0275">
            <w:pPr>
              <w:spacing w:after="40"/>
            </w:pPr>
            <w:r>
              <w:rPr>
                <w:rFonts w:ascii="Arial" w:eastAsia="Arial" w:hAnsi="Arial" w:cs="Arial"/>
                <w:b/>
                <w:bCs/>
                <w:color w:val="1A1A2E"/>
                <w:sz w:val="20"/>
                <w:szCs w:val="20"/>
              </w:rPr>
              <w:t xml:space="preserve">Delivery of structured CBT programme to </w:t>
            </w:r>
            <w:r>
              <w:rPr>
                <w:rFonts w:ascii="Arial" w:eastAsia="Arial" w:hAnsi="Arial" w:cs="Arial"/>
                <w:b/>
                <w:bCs/>
                <w:color w:val="1A1A2E"/>
                <w:sz w:val="20"/>
                <w:szCs w:val="20"/>
              </w:rPr>
              <w:lastRenderedPageBreak/>
              <w:t>children in GBV-affected households</w:t>
            </w:r>
          </w:p>
          <w:p w14:paraId="5D120EA6" w14:textId="77777777" w:rsidR="00D3621F" w:rsidRDefault="00D3621F" w:rsidP="001C0275">
            <w:r>
              <w:rPr>
                <w:rFonts w:ascii="Arial" w:eastAsia="Arial" w:hAnsi="Arial" w:cs="Arial"/>
                <w:i/>
                <w:iCs/>
                <w:color w:val="555555"/>
                <w:sz w:val="18"/>
                <w:szCs w:val="18"/>
              </w:rPr>
              <w:t>Structured sessions by trained facilitators, with a parallel caregiver support strand</w:t>
            </w:r>
          </w:p>
        </w:tc>
        <w:tc>
          <w:tcPr>
            <w:tcW w:w="1166" w:type="pct"/>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8C8CD60" w14:textId="77777777" w:rsidR="00D3621F" w:rsidRDefault="00D3621F" w:rsidP="001C0275">
            <w:r>
              <w:rPr>
                <w:rFonts w:ascii="Arial" w:eastAsia="Arial" w:hAnsi="Arial" w:cs="Arial"/>
                <w:color w:val="1A1A2E"/>
                <w:sz w:val="19"/>
                <w:szCs w:val="19"/>
              </w:rPr>
              <w:lastRenderedPageBreak/>
              <w:t xml:space="preserve">•  Number of participants enrolled and retained </w:t>
            </w:r>
          </w:p>
          <w:p w14:paraId="6A7B91E5" w14:textId="77777777" w:rsidR="00D3621F" w:rsidRDefault="00D3621F" w:rsidP="001C0275">
            <w:pPr>
              <w:spacing w:before="50"/>
            </w:pPr>
            <w:r>
              <w:rPr>
                <w:rFonts w:ascii="Arial" w:eastAsia="Arial" w:hAnsi="Arial" w:cs="Arial"/>
                <w:color w:val="1A1A2E"/>
                <w:sz w:val="19"/>
                <w:szCs w:val="19"/>
              </w:rPr>
              <w:lastRenderedPageBreak/>
              <w:t>•  Number of sessions completed per participant</w:t>
            </w:r>
          </w:p>
          <w:p w14:paraId="2198FCF9" w14:textId="77777777" w:rsidR="00D3621F" w:rsidRDefault="00D3621F" w:rsidP="001C0275">
            <w:pPr>
              <w:spacing w:before="50"/>
            </w:pPr>
            <w:r>
              <w:rPr>
                <w:rFonts w:ascii="Arial" w:eastAsia="Arial" w:hAnsi="Arial" w:cs="Arial"/>
                <w:color w:val="1A1A2E"/>
                <w:sz w:val="19"/>
                <w:szCs w:val="19"/>
              </w:rPr>
              <w:t>•  Number of trained and supervised facilitators deployed</w:t>
            </w:r>
          </w:p>
          <w:p w14:paraId="052D9CD3" w14:textId="77777777" w:rsidR="00D3621F" w:rsidRDefault="00D3621F" w:rsidP="001C0275">
            <w:pPr>
              <w:spacing w:before="50"/>
            </w:pPr>
            <w:r>
              <w:rPr>
                <w:rFonts w:ascii="Arial" w:eastAsia="Arial" w:hAnsi="Arial" w:cs="Arial"/>
                <w:color w:val="1A1A2E"/>
                <w:sz w:val="19"/>
                <w:szCs w:val="19"/>
              </w:rPr>
              <w:t>•  % of non-offending caregivers engaged in the parallel support strand</w:t>
            </w:r>
          </w:p>
        </w:tc>
        <w:tc>
          <w:tcPr>
            <w:tcW w:w="984" w:type="pct"/>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1E5FF41" w14:textId="77777777" w:rsidR="00D3621F" w:rsidRDefault="00D3621F" w:rsidP="001C0275">
            <w:r>
              <w:rPr>
                <w:rFonts w:ascii="Arial" w:eastAsia="Arial" w:hAnsi="Arial" w:cs="Arial"/>
                <w:color w:val="1A1A2E"/>
                <w:sz w:val="19"/>
                <w:szCs w:val="19"/>
              </w:rPr>
              <w:lastRenderedPageBreak/>
              <w:t xml:space="preserve">•  Attendance registers and </w:t>
            </w:r>
            <w:r>
              <w:rPr>
                <w:rFonts w:ascii="Arial" w:eastAsia="Arial" w:hAnsi="Arial" w:cs="Arial"/>
                <w:color w:val="1A1A2E"/>
                <w:sz w:val="19"/>
                <w:szCs w:val="19"/>
              </w:rPr>
              <w:lastRenderedPageBreak/>
              <w:t>session completion logs</w:t>
            </w:r>
          </w:p>
          <w:p w14:paraId="2F7E27B9" w14:textId="77777777" w:rsidR="00D3621F" w:rsidRDefault="00D3621F" w:rsidP="001C0275">
            <w:pPr>
              <w:spacing w:before="50"/>
            </w:pPr>
            <w:r>
              <w:rPr>
                <w:rFonts w:ascii="Arial" w:eastAsia="Arial" w:hAnsi="Arial" w:cs="Arial"/>
                <w:color w:val="1A1A2E"/>
                <w:sz w:val="19"/>
                <w:szCs w:val="19"/>
              </w:rPr>
              <w:t>•  Facilitator training records and clinical supervision logs</w:t>
            </w:r>
          </w:p>
          <w:p w14:paraId="15C6A626" w14:textId="77777777" w:rsidR="00D3621F" w:rsidRDefault="00D3621F" w:rsidP="001C0275">
            <w:pPr>
              <w:spacing w:before="50"/>
            </w:pPr>
            <w:r>
              <w:rPr>
                <w:rFonts w:ascii="Arial" w:eastAsia="Arial" w:hAnsi="Arial" w:cs="Arial"/>
                <w:color w:val="1A1A2E"/>
                <w:sz w:val="19"/>
                <w:szCs w:val="19"/>
              </w:rPr>
              <w:t>•  Programme monitoring and management information system</w:t>
            </w:r>
          </w:p>
        </w:tc>
        <w:tc>
          <w:tcPr>
            <w:tcW w:w="1138" w:type="pct"/>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0E0AD4A" w14:textId="77777777" w:rsidR="00D3621F" w:rsidRDefault="00D3621F" w:rsidP="001C0275">
            <w:r>
              <w:rPr>
                <w:rFonts w:ascii="Arial" w:eastAsia="Arial" w:hAnsi="Arial" w:cs="Arial"/>
                <w:color w:val="1A1A2E"/>
                <w:sz w:val="19"/>
                <w:szCs w:val="19"/>
              </w:rPr>
              <w:lastRenderedPageBreak/>
              <w:t xml:space="preserve">•  Facilitators are adequately trained and </w:t>
            </w:r>
            <w:r>
              <w:rPr>
                <w:rFonts w:ascii="Arial" w:eastAsia="Arial" w:hAnsi="Arial" w:cs="Arial"/>
                <w:color w:val="1A1A2E"/>
                <w:sz w:val="19"/>
                <w:szCs w:val="19"/>
              </w:rPr>
              <w:lastRenderedPageBreak/>
              <w:t>receive ongoing clinical supervision</w:t>
            </w:r>
          </w:p>
          <w:p w14:paraId="4664AD2D" w14:textId="77777777" w:rsidR="00D3621F" w:rsidRDefault="00D3621F" w:rsidP="001C0275">
            <w:pPr>
              <w:spacing w:before="50"/>
            </w:pPr>
            <w:r>
              <w:rPr>
                <w:rFonts w:ascii="Arial" w:eastAsia="Arial" w:hAnsi="Arial" w:cs="Arial"/>
                <w:color w:val="1A1A2E"/>
                <w:sz w:val="19"/>
                <w:szCs w:val="19"/>
              </w:rPr>
              <w:t>•  Participants have consistent access to safe, confidential programme spaces</w:t>
            </w:r>
          </w:p>
          <w:p w14:paraId="1F546128" w14:textId="77777777" w:rsidR="00D3621F" w:rsidRDefault="00D3621F" w:rsidP="001C0275">
            <w:pPr>
              <w:spacing w:before="50"/>
            </w:pPr>
            <w:r>
              <w:rPr>
                <w:rFonts w:ascii="Arial" w:eastAsia="Arial" w:hAnsi="Arial" w:cs="Arial"/>
                <w:color w:val="1A1A2E"/>
                <w:sz w:val="19"/>
                <w:szCs w:val="19"/>
              </w:rPr>
              <w:t>•  Non-offending caregivers are willing and able to support participation</w:t>
            </w:r>
          </w:p>
          <w:p w14:paraId="031FF741" w14:textId="77777777" w:rsidR="00D3621F" w:rsidRDefault="00D3621F" w:rsidP="001C0275">
            <w:pPr>
              <w:spacing w:before="50"/>
            </w:pPr>
            <w:r>
              <w:rPr>
                <w:rFonts w:ascii="Arial" w:eastAsia="Arial" w:hAnsi="Arial" w:cs="Arial"/>
                <w:color w:val="1A1A2E"/>
                <w:sz w:val="19"/>
                <w:szCs w:val="19"/>
              </w:rPr>
              <w:t>•  Adequate and sustained programme funding and management infrastructure is in place</w:t>
            </w:r>
          </w:p>
        </w:tc>
      </w:tr>
    </w:tbl>
    <w:p w14:paraId="7A9D9014" w14:textId="1759899C" w:rsidR="00E415D5" w:rsidRDefault="002616F0">
      <w:pPr>
        <w:pStyle w:val="Heading2"/>
      </w:pPr>
      <w:proofErr w:type="gramStart"/>
      <w:r>
        <w:rPr>
          <w:lang w:val="en-US"/>
        </w:rPr>
        <w:lastRenderedPageBreak/>
        <w:t>4</w:t>
      </w:r>
      <w:r w:rsidR="00B114B8">
        <w:t>.1  Input</w:t>
      </w:r>
      <w:proofErr w:type="gramEnd"/>
      <w:r w:rsidR="00B114B8">
        <w:t>: Structured CBT Delivery</w:t>
      </w:r>
    </w:p>
    <w:p w14:paraId="09AD47E7" w14:textId="77777777" w:rsidR="00E415D5" w:rsidRDefault="00B114B8">
      <w:pPr>
        <w:spacing w:before="60" w:after="120" w:line="276" w:lineRule="auto"/>
        <w:jc w:val="both"/>
      </w:pPr>
      <w:r>
        <w:rPr>
          <w:rFonts w:ascii="Arial" w:eastAsia="Arial" w:hAnsi="Arial" w:cs="Arial"/>
          <w:b/>
          <w:bCs/>
          <w:color w:val="1A1A2E"/>
          <w:sz w:val="22"/>
          <w:szCs w:val="22"/>
        </w:rPr>
        <w:t xml:space="preserve">What happens: </w:t>
      </w:r>
      <w:r>
        <w:rPr>
          <w:rFonts w:ascii="Arial" w:eastAsia="Arial" w:hAnsi="Arial" w:cs="Arial"/>
          <w:color w:val="1A1A2E"/>
          <w:sz w:val="22"/>
          <w:szCs w:val="22"/>
        </w:rPr>
        <w:t>Trained facilitators deliver a structured, evidence-based CBT programme to children in GBV-affected households. A parallel support strand engages the non-offending caregiver.</w:t>
      </w:r>
    </w:p>
    <w:p w14:paraId="57AC2D7A" w14:textId="77777777" w:rsidR="00E415D5" w:rsidRDefault="00E415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15D5" w14:paraId="5946012D" w14:textId="77777777">
        <w:tblPrEx>
          <w:tblCellMar>
            <w:top w:w="0" w:type="dxa"/>
            <w:bottom w:w="0" w:type="dxa"/>
          </w:tblCellMar>
        </w:tblPrEx>
        <w:tc>
          <w:tcPr>
            <w:tcW w:w="0" w:type="auto"/>
            <w:tcBorders>
              <w:top w:val="single" w:sz="8" w:space="0" w:color="92400E"/>
              <w:left w:val="single" w:sz="8" w:space="0" w:color="92400E"/>
              <w:bottom w:val="single" w:sz="1" w:space="0" w:color="AAAAAA"/>
              <w:right w:val="single" w:sz="1" w:space="0" w:color="AAAAAA"/>
            </w:tcBorders>
            <w:shd w:val="clear" w:color="auto" w:fill="FEF3C7"/>
            <w:tcMar>
              <w:top w:w="140" w:type="dxa"/>
              <w:left w:w="200" w:type="dxa"/>
              <w:bottom w:w="140" w:type="dxa"/>
              <w:right w:w="200" w:type="dxa"/>
            </w:tcMar>
          </w:tcPr>
          <w:p w14:paraId="035982E2" w14:textId="77777777" w:rsidR="00E415D5" w:rsidRDefault="00B114B8">
            <w:pPr>
              <w:spacing w:after="80"/>
            </w:pPr>
            <w:r>
              <w:rPr>
                <w:rFonts w:ascii="Arial" w:eastAsia="Arial" w:hAnsi="Arial" w:cs="Arial"/>
                <w:b/>
                <w:bCs/>
                <w:color w:val="92400E"/>
                <w:sz w:val="20"/>
                <w:szCs w:val="20"/>
              </w:rPr>
              <w:t>Programme design decision — modality (to be determined by experts)</w:t>
            </w:r>
          </w:p>
          <w:p w14:paraId="1BFEB840" w14:textId="77777777" w:rsidR="00E415D5" w:rsidRDefault="00B114B8">
            <w:pPr>
              <w:spacing w:after="60" w:line="264" w:lineRule="auto"/>
            </w:pPr>
            <w:r>
              <w:rPr>
                <w:rFonts w:ascii="Arial" w:eastAsia="Arial" w:hAnsi="Arial" w:cs="Arial"/>
                <w:color w:val="1A1A2E"/>
                <w:sz w:val="20"/>
                <w:szCs w:val="20"/>
              </w:rPr>
              <w:t>The programme may be delivered as individual (1:1) sessions, group sessions, or a mixed model combining both. The appropriate modality will be determined following expert consultation and detailed analysis of the target population's characteristics, needs</w:t>
            </w:r>
            <w:r>
              <w:rPr>
                <w:rFonts w:ascii="Arial" w:eastAsia="Arial" w:hAnsi="Arial" w:cs="Arial"/>
                <w:color w:val="1A1A2E"/>
                <w:sz w:val="20"/>
                <w:szCs w:val="20"/>
              </w:rPr>
              <w:t>, and vulnerabilities.</w:t>
            </w:r>
          </w:p>
          <w:p w14:paraId="15EF1FCE" w14:textId="77777777" w:rsidR="00E415D5" w:rsidRDefault="00E415D5">
            <w:pPr>
              <w:spacing w:after="60" w:line="264" w:lineRule="auto"/>
            </w:pPr>
          </w:p>
          <w:p w14:paraId="11A3F04A" w14:textId="77777777" w:rsidR="00E415D5" w:rsidRDefault="00B114B8">
            <w:pPr>
              <w:spacing w:after="60" w:line="264" w:lineRule="auto"/>
            </w:pPr>
            <w:r>
              <w:rPr>
                <w:rFonts w:ascii="Arial" w:eastAsia="Arial" w:hAnsi="Arial" w:cs="Arial"/>
                <w:color w:val="1A1A2E"/>
                <w:sz w:val="20"/>
                <w:szCs w:val="20"/>
              </w:rPr>
              <w:t>Group delivery offers peer normalisation and cost efficiency. Individual delivery offers privacy and trauma-sensitive pacing. A mixed model may capture the benefits of both. No modality is prescribed at this stage.</w:t>
            </w:r>
          </w:p>
        </w:tc>
      </w:tr>
    </w:tbl>
    <w:p w14:paraId="6DA80153" w14:textId="77777777" w:rsidR="00E415D5" w:rsidRDefault="00E415D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15D5" w14:paraId="613F8949" w14:textId="77777777">
        <w:tblPrEx>
          <w:tblCellMar>
            <w:top w:w="0" w:type="dxa"/>
            <w:bottom w:w="0" w:type="dxa"/>
          </w:tblCellMar>
        </w:tblPrEx>
        <w:tc>
          <w:tcPr>
            <w:tcW w:w="0" w:type="auto"/>
            <w:tcBorders>
              <w:top w:val="single" w:sz="8" w:space="0" w:color="92400E"/>
              <w:left w:val="single" w:sz="8" w:space="0" w:color="92400E"/>
              <w:bottom w:val="single" w:sz="1" w:space="0" w:color="AAAAAA"/>
              <w:right w:val="single" w:sz="1" w:space="0" w:color="AAAAAA"/>
            </w:tcBorders>
            <w:shd w:val="clear" w:color="auto" w:fill="FEF3C7"/>
            <w:tcMar>
              <w:top w:w="140" w:type="dxa"/>
              <w:left w:w="200" w:type="dxa"/>
              <w:bottom w:w="140" w:type="dxa"/>
              <w:right w:w="200" w:type="dxa"/>
            </w:tcMar>
          </w:tcPr>
          <w:p w14:paraId="6147AF28" w14:textId="77777777" w:rsidR="00E415D5" w:rsidRDefault="00B114B8">
            <w:pPr>
              <w:spacing w:after="80"/>
            </w:pPr>
            <w:r>
              <w:rPr>
                <w:rFonts w:ascii="Arial" w:eastAsia="Arial" w:hAnsi="Arial" w:cs="Arial"/>
                <w:b/>
                <w:bCs/>
                <w:color w:val="92400E"/>
                <w:sz w:val="20"/>
                <w:szCs w:val="20"/>
              </w:rPr>
              <w:t>Programme design decision — location and access (to be determined by experts)</w:t>
            </w:r>
          </w:p>
          <w:p w14:paraId="161781DA" w14:textId="77777777" w:rsidR="00E415D5" w:rsidRDefault="00B114B8">
            <w:pPr>
              <w:spacing w:after="60" w:line="264" w:lineRule="auto"/>
            </w:pPr>
            <w:r>
              <w:rPr>
                <w:rFonts w:ascii="Arial" w:eastAsia="Arial" w:hAnsi="Arial" w:cs="Arial"/>
                <w:color w:val="1A1A2E"/>
                <w:sz w:val="20"/>
                <w:szCs w:val="20"/>
              </w:rPr>
              <w:t>Session locations will be selected based on proximity and practical accessibility for participating children. For group sessions, venues must be safe, confidential, and reachable</w:t>
            </w:r>
            <w:r>
              <w:rPr>
                <w:rFonts w:ascii="Arial" w:eastAsia="Arial" w:hAnsi="Arial" w:cs="Arial"/>
                <w:color w:val="1A1A2E"/>
                <w:sz w:val="20"/>
                <w:szCs w:val="20"/>
              </w:rPr>
              <w:t xml:space="preserve"> without requiring children to disclose participation to the abusive parent.</w:t>
            </w:r>
          </w:p>
          <w:p w14:paraId="1EDD4663" w14:textId="77777777" w:rsidR="00E415D5" w:rsidRDefault="00E415D5">
            <w:pPr>
              <w:spacing w:after="60" w:line="264" w:lineRule="auto"/>
            </w:pPr>
          </w:p>
          <w:p w14:paraId="29E214AA" w14:textId="77777777" w:rsidR="00E415D5" w:rsidRDefault="00B114B8">
            <w:pPr>
              <w:spacing w:after="60" w:line="264" w:lineRule="auto"/>
            </w:pPr>
            <w:r>
              <w:rPr>
                <w:rFonts w:ascii="Arial" w:eastAsia="Arial" w:hAnsi="Arial" w:cs="Arial"/>
                <w:color w:val="1A1A2E"/>
                <w:sz w:val="20"/>
                <w:szCs w:val="20"/>
              </w:rPr>
              <w:t>Location siting decisions will be made in consultation with local partners, safeguarding leads, and the communities being served.</w:t>
            </w:r>
          </w:p>
        </w:tc>
      </w:tr>
    </w:tbl>
    <w:p w14:paraId="5D8292F4" w14:textId="77777777" w:rsidR="00E415D5" w:rsidRDefault="00E415D5">
      <w:pPr>
        <w:spacing w:after="100"/>
      </w:pPr>
    </w:p>
    <w:p w14:paraId="754C87E2" w14:textId="7CCD47FA" w:rsidR="00E415D5" w:rsidRDefault="002616F0">
      <w:pPr>
        <w:pStyle w:val="Heading2"/>
      </w:pPr>
      <w:proofErr w:type="gramStart"/>
      <w:r>
        <w:rPr>
          <w:lang w:val="en-US"/>
        </w:rPr>
        <w:t>4</w:t>
      </w:r>
      <w:r w:rsidR="00B114B8">
        <w:t>.2  Output</w:t>
      </w:r>
      <w:proofErr w:type="gramEnd"/>
      <w:r w:rsidR="00B114B8">
        <w:t>: Reduced Trauma Symptoms</w:t>
      </w:r>
    </w:p>
    <w:p w14:paraId="1405E2DD" w14:textId="77777777" w:rsidR="00E415D5" w:rsidRDefault="00B114B8">
      <w:pPr>
        <w:spacing w:before="60" w:after="120" w:line="276" w:lineRule="auto"/>
        <w:jc w:val="both"/>
      </w:pPr>
      <w:r>
        <w:rPr>
          <w:rFonts w:ascii="Arial" w:eastAsia="Arial" w:hAnsi="Arial" w:cs="Arial"/>
          <w:b/>
          <w:bCs/>
          <w:color w:val="1A1A2E"/>
          <w:sz w:val="22"/>
          <w:szCs w:val="22"/>
        </w:rPr>
        <w:t>What chan</w:t>
      </w:r>
      <w:r>
        <w:rPr>
          <w:rFonts w:ascii="Arial" w:eastAsia="Arial" w:hAnsi="Arial" w:cs="Arial"/>
          <w:b/>
          <w:bCs/>
          <w:color w:val="1A1A2E"/>
          <w:sz w:val="22"/>
          <w:szCs w:val="22"/>
        </w:rPr>
        <w:t xml:space="preserve">ges: </w:t>
      </w:r>
      <w:r>
        <w:rPr>
          <w:rFonts w:ascii="Arial" w:eastAsia="Arial" w:hAnsi="Arial" w:cs="Arial"/>
          <w:color w:val="1A1A2E"/>
          <w:sz w:val="22"/>
          <w:szCs w:val="22"/>
        </w:rPr>
        <w:t>Children completing the programme demonstrate measurable reductions in trauma symptom severity, improved emotional regulation, and a strengthened sense of personal safety.</w:t>
      </w:r>
    </w:p>
    <w:p w14:paraId="40DCF234" w14:textId="77777777" w:rsidR="00E415D5" w:rsidRDefault="00B114B8">
      <w:pPr>
        <w:spacing w:before="60" w:after="120" w:line="276" w:lineRule="auto"/>
        <w:jc w:val="both"/>
      </w:pPr>
      <w:r>
        <w:rPr>
          <w:rFonts w:ascii="Arial" w:eastAsia="Arial" w:hAnsi="Arial" w:cs="Arial"/>
          <w:color w:val="1A1A2E"/>
          <w:sz w:val="22"/>
          <w:szCs w:val="22"/>
        </w:rPr>
        <w:lastRenderedPageBreak/>
        <w:t>The specific CBT components driving these changes — trauma narrative work, cogn</w:t>
      </w:r>
      <w:r>
        <w:rPr>
          <w:rFonts w:ascii="Arial" w:eastAsia="Arial" w:hAnsi="Arial" w:cs="Arial"/>
          <w:color w:val="1A1A2E"/>
          <w:sz w:val="22"/>
          <w:szCs w:val="22"/>
        </w:rPr>
        <w:t>itive restructuring, emotion regulation skills, and safety planning — are each supported by the evidence base. The output is the proximate, clinically measurable result of the intervention.</w:t>
      </w:r>
    </w:p>
    <w:p w14:paraId="506C380A" w14:textId="3980569F" w:rsidR="008D7B24" w:rsidRPr="002616F0" w:rsidRDefault="00B114B8" w:rsidP="00867809">
      <w:pPr>
        <w:spacing w:before="60" w:after="120" w:line="276" w:lineRule="auto"/>
        <w:jc w:val="both"/>
        <w:rPr>
          <w:rFonts w:ascii="Arial" w:eastAsia="Arial" w:hAnsi="Arial" w:cs="Arial"/>
          <w:color w:val="1A1A2E"/>
          <w:sz w:val="22"/>
          <w:szCs w:val="22"/>
        </w:rPr>
      </w:pPr>
      <w:r>
        <w:rPr>
          <w:rFonts w:ascii="Arial" w:eastAsia="Arial" w:hAnsi="Arial" w:cs="Arial"/>
          <w:b/>
          <w:bCs/>
          <w:color w:val="1A1A2E"/>
          <w:sz w:val="22"/>
          <w:szCs w:val="22"/>
        </w:rPr>
        <w:t xml:space="preserve">Critical assumption: </w:t>
      </w:r>
      <w:r>
        <w:rPr>
          <w:rFonts w:ascii="Arial" w:eastAsia="Arial" w:hAnsi="Arial" w:cs="Arial"/>
          <w:color w:val="1A1A2E"/>
          <w:sz w:val="22"/>
          <w:szCs w:val="22"/>
        </w:rPr>
        <w:t xml:space="preserve">Children must be able to attend a sufficient </w:t>
      </w:r>
      <w:r>
        <w:rPr>
          <w:rFonts w:ascii="Arial" w:eastAsia="Arial" w:hAnsi="Arial" w:cs="Arial"/>
          <w:color w:val="1A1A2E"/>
          <w:sz w:val="22"/>
          <w:szCs w:val="22"/>
        </w:rPr>
        <w:t>number of sessions to reach the therapeutic dose. Where children remain in direct, unmitigated contact with an abusive parent who denies the violence, the programme's clinical team should assess whether continued participation is therapeutically indicated,</w:t>
      </w:r>
      <w:r>
        <w:rPr>
          <w:rFonts w:ascii="Arial" w:eastAsia="Arial" w:hAnsi="Arial" w:cs="Arial"/>
          <w:color w:val="1A1A2E"/>
          <w:sz w:val="22"/>
          <w:szCs w:val="22"/>
        </w:rPr>
        <w:t xml:space="preserve"> and whether additional safeguarding measures are required.</w:t>
      </w:r>
    </w:p>
    <w:p w14:paraId="3335A029" w14:textId="163CE741" w:rsidR="00E415D5" w:rsidRDefault="002616F0">
      <w:pPr>
        <w:pStyle w:val="Heading2"/>
      </w:pPr>
      <w:proofErr w:type="gramStart"/>
      <w:r>
        <w:rPr>
          <w:lang w:val="en-US"/>
        </w:rPr>
        <w:t>4</w:t>
      </w:r>
      <w:r w:rsidR="00B114B8">
        <w:t>.</w:t>
      </w:r>
      <w:r>
        <w:rPr>
          <w:lang w:val="en-US"/>
        </w:rPr>
        <w:t>3</w:t>
      </w:r>
      <w:r w:rsidR="00B114B8">
        <w:t xml:space="preserve">  Outcome</w:t>
      </w:r>
      <w:proofErr w:type="gramEnd"/>
      <w:r w:rsidR="00B114B8">
        <w:t>: Improved Social and Academic Engagement</w:t>
      </w:r>
    </w:p>
    <w:p w14:paraId="2B4E0795" w14:textId="77777777" w:rsidR="00E415D5" w:rsidRDefault="00B114B8">
      <w:pPr>
        <w:spacing w:before="60" w:after="120" w:line="276" w:lineRule="auto"/>
        <w:jc w:val="both"/>
      </w:pPr>
      <w:r>
        <w:rPr>
          <w:rFonts w:ascii="Arial" w:eastAsia="Arial" w:hAnsi="Arial" w:cs="Arial"/>
          <w:color w:val="1A1A2E"/>
          <w:sz w:val="22"/>
          <w:szCs w:val="22"/>
        </w:rPr>
        <w:t xml:space="preserve">As trauma symptoms reduce </w:t>
      </w:r>
      <w:r>
        <w:rPr>
          <w:rFonts w:ascii="Arial" w:eastAsia="Arial" w:hAnsi="Arial" w:cs="Arial"/>
          <w:color w:val="1A1A2E"/>
          <w:sz w:val="22"/>
          <w:szCs w:val="22"/>
        </w:rPr>
        <w:t>and emotional regulation improves, children are better placed to engage with the social and educational environments around them. This includes school attendance, academic performance, and the quality of peer relationships. Evidence from the Becoming a Man</w:t>
      </w:r>
      <w:r>
        <w:rPr>
          <w:rFonts w:ascii="Arial" w:eastAsia="Arial" w:hAnsi="Arial" w:cs="Arial"/>
          <w:color w:val="1A1A2E"/>
          <w:sz w:val="22"/>
          <w:szCs w:val="22"/>
        </w:rPr>
        <w:t xml:space="preserve"> (BAM) programme demonstrates a direct causal link between structured CBT and improved graduation rates — a pathway that operates through exactly this mechanism.</w:t>
      </w:r>
    </w:p>
    <w:p w14:paraId="0221AA46" w14:textId="317B798F" w:rsidR="00E415D5" w:rsidRDefault="00B114B8" w:rsidP="00597AED">
      <w:pPr>
        <w:spacing w:before="60" w:after="120" w:line="276" w:lineRule="auto"/>
        <w:jc w:val="both"/>
        <w:rPr>
          <w:rFonts w:ascii="Arial" w:eastAsia="Arial" w:hAnsi="Arial" w:cs="Arial"/>
          <w:color w:val="1A1A2E"/>
          <w:sz w:val="22"/>
          <w:szCs w:val="22"/>
        </w:rPr>
      </w:pPr>
      <w:r>
        <w:rPr>
          <w:rFonts w:ascii="Arial" w:eastAsia="Arial" w:hAnsi="Arial" w:cs="Arial"/>
          <w:color w:val="1A1A2E"/>
          <w:sz w:val="22"/>
          <w:szCs w:val="22"/>
        </w:rPr>
        <w:t>Academic and social re-engagement is also intrinsically protective: school provides structure,</w:t>
      </w:r>
      <w:r>
        <w:rPr>
          <w:rFonts w:ascii="Arial" w:eastAsia="Arial" w:hAnsi="Arial" w:cs="Arial"/>
          <w:color w:val="1A1A2E"/>
          <w:sz w:val="22"/>
          <w:szCs w:val="22"/>
        </w:rPr>
        <w:t xml:space="preserve"> trusted adults, and peer connection — all of which buffer against the re-emergence of trauma symptoms after the programme ends.</w:t>
      </w:r>
    </w:p>
    <w:p w14:paraId="03E1E63B" w14:textId="77777777" w:rsidR="008D7B24" w:rsidRPr="008D7B24" w:rsidRDefault="008D7B24" w:rsidP="008D7B24">
      <w:pPr>
        <w:spacing w:before="60" w:after="120" w:line="276" w:lineRule="auto"/>
        <w:jc w:val="both"/>
        <w:rPr>
          <w:rFonts w:ascii="Arial" w:eastAsia="Arial" w:hAnsi="Arial" w:cs="Arial"/>
          <w:color w:val="1A1A2E"/>
          <w:sz w:val="22"/>
          <w:szCs w:val="22"/>
        </w:rPr>
      </w:pPr>
      <w:r w:rsidRPr="008D7B24">
        <w:rPr>
          <w:rFonts w:ascii="Arial" w:eastAsia="Arial" w:hAnsi="Arial" w:cs="Arial"/>
          <w:color w:val="1A1A2E"/>
          <w:sz w:val="22"/>
          <w:szCs w:val="22"/>
        </w:rPr>
        <w:t xml:space="preserve">This improved engagement then opens a forward-looking pathway. Children who re-engage with education are better positioned to pursue further academic achievement and, ultimately, secure stable employment. Economic stability — sustained income and financial independence — in turn reduces vulnerability to GBV in adulthood in two directions: it lowers the material conditions that increase exposure to victimisation, and it reduces the stressors associated with perpetration. </w:t>
      </w:r>
    </w:p>
    <w:p w14:paraId="4DCE4328" w14:textId="2603515C" w:rsidR="00316A23" w:rsidRPr="00316A23" w:rsidRDefault="00316A23" w:rsidP="00316A23">
      <w:pPr>
        <w:spacing w:before="60" w:after="120" w:line="276" w:lineRule="auto"/>
        <w:jc w:val="both"/>
        <w:rPr>
          <w:rFonts w:ascii="Arial" w:eastAsia="Arial" w:hAnsi="Arial" w:cs="Arial"/>
          <w:color w:val="1A1A2E"/>
          <w:sz w:val="22"/>
          <w:szCs w:val="22"/>
        </w:rPr>
      </w:pPr>
      <w:r w:rsidRPr="00316A23">
        <w:rPr>
          <w:rFonts w:ascii="Arial" w:eastAsia="Arial" w:hAnsi="Arial" w:cs="Arial"/>
          <w:color w:val="1A1A2E"/>
          <w:sz w:val="22"/>
          <w:szCs w:val="22"/>
        </w:rPr>
        <w:t>It should be noted that two additional outcomes — an improved relationship with the non-offending caregiver, and the capacity to form healthy, non-violent relationships with others in adulthood — are not captured in the log frame due to measurement complexity, but are expected to contribute independently to the programme's long-term impact. A child who develops a secure caregiver relationship during treatment is less likely to replicate violent relationship dynamics in adulthood; and a young adult who forms healthy intimate and family relationships is, by definition, not transmitting the cycle of GBV to the next generation. These outcomes operate alongside the economic pathway and reinforce the overall impact, even where they are not formally tracked.</w:t>
      </w:r>
    </w:p>
    <w:p w14:paraId="60B672BC" w14:textId="09AF549E" w:rsidR="00E415D5" w:rsidRDefault="002616F0">
      <w:pPr>
        <w:pStyle w:val="Heading2"/>
      </w:pPr>
      <w:proofErr w:type="gramStart"/>
      <w:r>
        <w:rPr>
          <w:lang w:val="en-US"/>
        </w:rPr>
        <w:t>4.4</w:t>
      </w:r>
      <w:r w:rsidR="00B114B8">
        <w:t xml:space="preserve">  Impact</w:t>
      </w:r>
      <w:proofErr w:type="gramEnd"/>
    </w:p>
    <w:p w14:paraId="4EF3FAFB" w14:textId="2D106CBC" w:rsidR="009B198A" w:rsidRDefault="00B114B8" w:rsidP="00925BE7">
      <w:pPr>
        <w:spacing w:before="60" w:after="120" w:line="276" w:lineRule="auto"/>
        <w:jc w:val="both"/>
        <w:rPr>
          <w:rFonts w:ascii="Arial" w:eastAsia="Arial" w:hAnsi="Arial" w:cs="Arial"/>
          <w:color w:val="1A1A2E"/>
          <w:sz w:val="22"/>
          <w:szCs w:val="22"/>
        </w:rPr>
      </w:pPr>
      <w:r>
        <w:rPr>
          <w:rFonts w:ascii="Arial" w:eastAsia="Arial" w:hAnsi="Arial" w:cs="Arial"/>
          <w:color w:val="1A1A2E"/>
          <w:sz w:val="22"/>
          <w:szCs w:val="22"/>
        </w:rPr>
        <w:t>Breaking the intergenerational cycle of GBV: programme graduates do not become victims or perpetrators of GBV in a</w:t>
      </w:r>
      <w:r>
        <w:rPr>
          <w:rFonts w:ascii="Arial" w:eastAsia="Arial" w:hAnsi="Arial" w:cs="Arial"/>
          <w:color w:val="1A1A2E"/>
          <w:sz w:val="22"/>
          <w:szCs w:val="22"/>
        </w:rPr>
        <w:t>dulthood at significantly higher rates than the general population. The STYL programme in Liberia demonstrates that CBT-driven reductions in violent behaviour can persist for at least ten years — providing a strong evidential basis for this long-term impac</w:t>
      </w:r>
      <w:r>
        <w:rPr>
          <w:rFonts w:ascii="Arial" w:eastAsia="Arial" w:hAnsi="Arial" w:cs="Arial"/>
          <w:color w:val="1A1A2E"/>
          <w:sz w:val="22"/>
          <w:szCs w:val="22"/>
        </w:rPr>
        <w:t>t claim.</w:t>
      </w:r>
    </w:p>
    <w:p w14:paraId="6A283AA4" w14:textId="77777777" w:rsidR="00925BE7" w:rsidRPr="00925BE7" w:rsidRDefault="00925BE7" w:rsidP="00925BE7">
      <w:pPr>
        <w:spacing w:before="60" w:after="120" w:line="276" w:lineRule="auto"/>
        <w:jc w:val="both"/>
        <w:rPr>
          <w:rFonts w:ascii="Arial" w:eastAsia="Arial" w:hAnsi="Arial" w:cs="Arial"/>
          <w:color w:val="1A1A2E"/>
          <w:sz w:val="22"/>
          <w:szCs w:val="22"/>
        </w:rPr>
      </w:pPr>
    </w:p>
    <w:p w14:paraId="57F64020" w14:textId="77777777" w:rsidR="00E415D5" w:rsidRDefault="00B114B8">
      <w:pPr>
        <w:pStyle w:val="Heading1"/>
        <w:pBdr>
          <w:bottom w:val="single" w:sz="6" w:space="6" w:color="1A6B72"/>
        </w:pBdr>
      </w:pPr>
      <w:r>
        <w:t>5. Key Assumptions and Risk Considerations</w:t>
      </w:r>
    </w:p>
    <w:p w14:paraId="1D06F6DA" w14:textId="77777777" w:rsidR="00E415D5" w:rsidRDefault="00B114B8">
      <w:pPr>
        <w:spacing w:before="60" w:after="120" w:line="276" w:lineRule="auto"/>
        <w:jc w:val="both"/>
      </w:pPr>
      <w:r>
        <w:rPr>
          <w:rFonts w:ascii="Arial" w:eastAsia="Arial" w:hAnsi="Arial" w:cs="Arial"/>
          <w:color w:val="1A1A2E"/>
          <w:sz w:val="22"/>
          <w:szCs w:val="22"/>
        </w:rPr>
        <w:t>The Theory of Change rests on several assumptions. Where these do not hold, the programme may require adaptation.</w:t>
      </w:r>
    </w:p>
    <w:p w14:paraId="2F38B9E6" w14:textId="77777777" w:rsidR="00E415D5" w:rsidRDefault="00E415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9"/>
        <w:gridCol w:w="5721"/>
      </w:tblGrid>
      <w:tr w:rsidR="00E415D5" w14:paraId="2D6BB375"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A6B72"/>
            <w:tcMar>
              <w:top w:w="100" w:type="dxa"/>
              <w:left w:w="160" w:type="dxa"/>
              <w:bottom w:w="100" w:type="dxa"/>
              <w:right w:w="160" w:type="dxa"/>
            </w:tcMar>
          </w:tcPr>
          <w:p w14:paraId="2E4088F1" w14:textId="77777777" w:rsidR="00E415D5" w:rsidRDefault="00B114B8">
            <w:r>
              <w:rPr>
                <w:rFonts w:ascii="Arial" w:eastAsia="Arial" w:hAnsi="Arial" w:cs="Arial"/>
                <w:b/>
                <w:bCs/>
                <w:color w:val="FFFFFF"/>
                <w:sz w:val="20"/>
                <w:szCs w:val="20"/>
              </w:rPr>
              <w:lastRenderedPageBreak/>
              <w:t>Assumption</w:t>
            </w:r>
          </w:p>
        </w:tc>
        <w:tc>
          <w:tcPr>
            <w:tcW w:w="0" w:type="auto"/>
            <w:tcBorders>
              <w:top w:val="single" w:sz="1" w:space="0" w:color="AAAAAA"/>
              <w:left w:val="single" w:sz="1" w:space="0" w:color="AAAAAA"/>
              <w:bottom w:val="single" w:sz="1" w:space="0" w:color="AAAAAA"/>
              <w:right w:val="single" w:sz="1" w:space="0" w:color="AAAAAA"/>
            </w:tcBorders>
            <w:shd w:val="clear" w:color="auto" w:fill="1A6B72"/>
            <w:tcMar>
              <w:top w:w="100" w:type="dxa"/>
              <w:left w:w="160" w:type="dxa"/>
              <w:bottom w:w="100" w:type="dxa"/>
              <w:right w:w="160" w:type="dxa"/>
            </w:tcMar>
          </w:tcPr>
          <w:p w14:paraId="7CD25DF6" w14:textId="77777777" w:rsidR="00E415D5" w:rsidRDefault="00B114B8">
            <w:r>
              <w:rPr>
                <w:rFonts w:ascii="Arial" w:eastAsia="Arial" w:hAnsi="Arial" w:cs="Arial"/>
                <w:b/>
                <w:bCs/>
                <w:color w:val="FFFFFF"/>
                <w:sz w:val="20"/>
                <w:szCs w:val="20"/>
              </w:rPr>
              <w:t>Risk if assumption does not hold</w:t>
            </w:r>
          </w:p>
        </w:tc>
      </w:tr>
      <w:tr w:rsidR="00E415D5" w14:paraId="1B4BD93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17D06A8B" w14:textId="77777777" w:rsidR="00E415D5" w:rsidRDefault="00B114B8">
            <w:pPr>
              <w:spacing w:line="264" w:lineRule="auto"/>
            </w:pPr>
            <w:r>
              <w:rPr>
                <w:rFonts w:ascii="Arial" w:eastAsia="Arial" w:hAnsi="Arial" w:cs="Arial"/>
                <w:color w:val="1A1A2E"/>
                <w:sz w:val="20"/>
                <w:szCs w:val="20"/>
              </w:rPr>
              <w:t>Participants attend sufficient sessions to reach the therapeutic dose.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31942493" w14:textId="77777777" w:rsidR="00E415D5" w:rsidRDefault="00B114B8">
            <w:pPr>
              <w:spacing w:line="264" w:lineRule="auto"/>
            </w:pPr>
            <w:r>
              <w:rPr>
                <w:rFonts w:ascii="Arial" w:eastAsia="Arial" w:hAnsi="Arial" w:cs="Arial"/>
                <w:color w:val="1A1A2E"/>
                <w:sz w:val="20"/>
                <w:szCs w:val="20"/>
              </w:rPr>
              <w:t>Insufficient dosage reduc</w:t>
            </w:r>
            <w:r>
              <w:rPr>
                <w:rFonts w:ascii="Arial" w:eastAsia="Arial" w:hAnsi="Arial" w:cs="Arial"/>
                <w:color w:val="1A1A2E"/>
                <w:sz w:val="20"/>
                <w:szCs w:val="20"/>
              </w:rPr>
              <w:t>es clinical effect. Mitigated by accessible locations, flexible scheduling, and caregiver support.</w:t>
            </w:r>
          </w:p>
        </w:tc>
      </w:tr>
      <w:tr w:rsidR="00E415D5" w14:paraId="6EDE49F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8F4F5"/>
            <w:tcMar>
              <w:top w:w="100" w:type="dxa"/>
              <w:left w:w="160" w:type="dxa"/>
              <w:bottom w:w="100" w:type="dxa"/>
              <w:right w:w="160" w:type="dxa"/>
            </w:tcMar>
          </w:tcPr>
          <w:p w14:paraId="47D90D90" w14:textId="77777777" w:rsidR="00E415D5" w:rsidRDefault="00B114B8">
            <w:pPr>
              <w:spacing w:line="264" w:lineRule="auto"/>
            </w:pPr>
            <w:r>
              <w:rPr>
                <w:rFonts w:ascii="Arial" w:eastAsia="Arial" w:hAnsi="Arial" w:cs="Arial"/>
                <w:color w:val="1A1A2E"/>
                <w:sz w:val="20"/>
                <w:szCs w:val="20"/>
              </w:rPr>
              <w:t>Non-offending caregivers are willing and able to engage in the parallel support strand.</w:t>
            </w:r>
          </w:p>
        </w:tc>
        <w:tc>
          <w:tcPr>
            <w:tcW w:w="0" w:type="auto"/>
            <w:tcBorders>
              <w:top w:val="single" w:sz="1" w:space="0" w:color="AAAAAA"/>
              <w:left w:val="single" w:sz="1" w:space="0" w:color="AAAAAA"/>
              <w:bottom w:val="single" w:sz="1" w:space="0" w:color="AAAAAA"/>
              <w:right w:val="single" w:sz="1" w:space="0" w:color="AAAAAA"/>
            </w:tcBorders>
            <w:shd w:val="clear" w:color="auto" w:fill="E8F4F5"/>
            <w:tcMar>
              <w:top w:w="100" w:type="dxa"/>
              <w:left w:w="160" w:type="dxa"/>
              <w:bottom w:w="100" w:type="dxa"/>
              <w:right w:w="160" w:type="dxa"/>
            </w:tcMar>
          </w:tcPr>
          <w:p w14:paraId="6CEA2D71" w14:textId="77777777" w:rsidR="00E415D5" w:rsidRDefault="00B114B8">
            <w:pPr>
              <w:spacing w:line="264" w:lineRule="auto"/>
            </w:pPr>
            <w:r>
              <w:rPr>
                <w:rFonts w:ascii="Arial" w:eastAsia="Arial" w:hAnsi="Arial" w:cs="Arial"/>
                <w:color w:val="1A1A2E"/>
                <w:sz w:val="20"/>
                <w:szCs w:val="20"/>
              </w:rPr>
              <w:t>Without caregiver engagement, post-treatment communication reverts to pre-treatment patterns, reducing durability of gains.</w:t>
            </w:r>
          </w:p>
        </w:tc>
      </w:tr>
      <w:tr w:rsidR="00E415D5" w14:paraId="6AF5552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60C8D475" w14:textId="77777777" w:rsidR="00E415D5" w:rsidRDefault="00B114B8">
            <w:pPr>
              <w:spacing w:line="264" w:lineRule="auto"/>
            </w:pPr>
            <w:r>
              <w:rPr>
                <w:rFonts w:ascii="Arial" w:eastAsia="Arial" w:hAnsi="Arial" w:cs="Arial"/>
                <w:color w:val="1A1A2E"/>
                <w:sz w:val="20"/>
                <w:szCs w:val="20"/>
              </w:rPr>
              <w:t>School environments are safe and supportive</w:t>
            </w:r>
            <w:r>
              <w:rPr>
                <w:rFonts w:ascii="Arial" w:eastAsia="Arial" w:hAnsi="Arial" w:cs="Arial"/>
                <w:color w:val="1A1A2E"/>
                <w:sz w:val="20"/>
                <w:szCs w:val="20"/>
              </w:rPr>
              <w:t xml:space="preserve"> of children's re-engagement.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138B8837" w14:textId="77777777" w:rsidR="00E415D5" w:rsidRDefault="00B114B8">
            <w:pPr>
              <w:spacing w:line="264" w:lineRule="auto"/>
            </w:pPr>
            <w:r>
              <w:rPr>
                <w:rFonts w:ascii="Arial" w:eastAsia="Arial" w:hAnsi="Arial" w:cs="Arial"/>
                <w:color w:val="1A1A2E"/>
                <w:sz w:val="20"/>
                <w:szCs w:val="20"/>
              </w:rPr>
              <w:t>Academic outcome pathway is weakened if school is itself a source of harm or exclusion.</w:t>
            </w:r>
          </w:p>
        </w:tc>
      </w:tr>
      <w:tr w:rsidR="00E415D5" w14:paraId="164F673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8F4F5"/>
            <w:tcMar>
              <w:top w:w="100" w:type="dxa"/>
              <w:left w:w="160" w:type="dxa"/>
              <w:bottom w:w="100" w:type="dxa"/>
              <w:right w:w="160" w:type="dxa"/>
            </w:tcMar>
          </w:tcPr>
          <w:p w14:paraId="60D1D68C" w14:textId="77777777" w:rsidR="00E415D5" w:rsidRDefault="00B114B8">
            <w:pPr>
              <w:spacing w:line="264" w:lineRule="auto"/>
            </w:pPr>
            <w:r>
              <w:rPr>
                <w:rFonts w:ascii="Arial" w:eastAsia="Arial" w:hAnsi="Arial" w:cs="Arial"/>
                <w:color w:val="1A1A2E"/>
                <w:sz w:val="20"/>
                <w:szCs w:val="20"/>
              </w:rPr>
              <w:t>Facilitators maintain programme fidelity with adequate clinical supervision.</w:t>
            </w:r>
          </w:p>
        </w:tc>
        <w:tc>
          <w:tcPr>
            <w:tcW w:w="0" w:type="auto"/>
            <w:tcBorders>
              <w:top w:val="single" w:sz="1" w:space="0" w:color="AAAAAA"/>
              <w:left w:val="single" w:sz="1" w:space="0" w:color="AAAAAA"/>
              <w:bottom w:val="single" w:sz="1" w:space="0" w:color="AAAAAA"/>
              <w:right w:val="single" w:sz="1" w:space="0" w:color="AAAAAA"/>
            </w:tcBorders>
            <w:shd w:val="clear" w:color="auto" w:fill="E8F4F5"/>
            <w:tcMar>
              <w:top w:w="100" w:type="dxa"/>
              <w:left w:w="160" w:type="dxa"/>
              <w:bottom w:w="100" w:type="dxa"/>
              <w:right w:w="160" w:type="dxa"/>
            </w:tcMar>
          </w:tcPr>
          <w:p w14:paraId="6D20970B" w14:textId="77777777" w:rsidR="00E415D5" w:rsidRDefault="00B114B8">
            <w:pPr>
              <w:spacing w:line="264" w:lineRule="auto"/>
            </w:pPr>
            <w:r>
              <w:rPr>
                <w:rFonts w:ascii="Arial" w:eastAsia="Arial" w:hAnsi="Arial" w:cs="Arial"/>
                <w:color w:val="1A1A2E"/>
                <w:sz w:val="20"/>
                <w:szCs w:val="20"/>
              </w:rPr>
              <w:t>Drift from the CBT curriculum reduces effectiveness. Mitigated by training standards and supervision protocols.</w:t>
            </w:r>
          </w:p>
        </w:tc>
      </w:tr>
      <w:tr w:rsidR="00E415D5" w14:paraId="4B42E36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7F36E012" w14:textId="77777777" w:rsidR="00E415D5" w:rsidRDefault="00B114B8">
            <w:pPr>
              <w:spacing w:line="264" w:lineRule="auto"/>
            </w:pPr>
            <w:r>
              <w:rPr>
                <w:rFonts w:ascii="Arial" w:eastAsia="Arial" w:hAnsi="Arial" w:cs="Arial"/>
                <w:color w:val="1A1A2E"/>
                <w:sz w:val="20"/>
                <w:szCs w:val="20"/>
              </w:rPr>
              <w:t>Official school data can be accessed under an appropriate data-sharing agreement.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773F1CDB" w14:textId="77777777" w:rsidR="00E415D5" w:rsidRDefault="00B114B8">
            <w:pPr>
              <w:spacing w:line="264" w:lineRule="auto"/>
            </w:pPr>
            <w:r>
              <w:rPr>
                <w:rFonts w:ascii="Arial" w:eastAsia="Arial" w:hAnsi="Arial" w:cs="Arial"/>
                <w:color w:val="1A1A2E"/>
                <w:sz w:val="20"/>
                <w:szCs w:val="20"/>
              </w:rPr>
              <w:t>Academic index reverts to standardised assessment tools. Continuity of measurement is maintained but comparability with administrative records is lost.</w:t>
            </w:r>
          </w:p>
        </w:tc>
      </w:tr>
      <w:tr w:rsidR="00E415D5" w14:paraId="55CDAA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8F4F5"/>
            <w:tcMar>
              <w:top w:w="100" w:type="dxa"/>
              <w:left w:w="160" w:type="dxa"/>
              <w:bottom w:w="100" w:type="dxa"/>
              <w:right w:w="160" w:type="dxa"/>
            </w:tcMar>
          </w:tcPr>
          <w:p w14:paraId="601A211C" w14:textId="77777777" w:rsidR="00E415D5" w:rsidRDefault="00B114B8">
            <w:pPr>
              <w:spacing w:line="264" w:lineRule="auto"/>
            </w:pPr>
            <w:r>
              <w:rPr>
                <w:rFonts w:ascii="Arial" w:eastAsia="Arial" w:hAnsi="Arial" w:cs="Arial"/>
                <w:color w:val="1A1A2E"/>
                <w:sz w:val="20"/>
                <w:szCs w:val="20"/>
              </w:rPr>
              <w:t>Programme effects per</w:t>
            </w:r>
            <w:r>
              <w:rPr>
                <w:rFonts w:ascii="Arial" w:eastAsia="Arial" w:hAnsi="Arial" w:cs="Arial"/>
                <w:color w:val="1A1A2E"/>
                <w:sz w:val="20"/>
                <w:szCs w:val="20"/>
              </w:rPr>
              <w:t>sist after the intervention ends.</w:t>
            </w:r>
          </w:p>
        </w:tc>
        <w:tc>
          <w:tcPr>
            <w:tcW w:w="0" w:type="auto"/>
            <w:tcBorders>
              <w:top w:val="single" w:sz="1" w:space="0" w:color="AAAAAA"/>
              <w:left w:val="single" w:sz="1" w:space="0" w:color="AAAAAA"/>
              <w:bottom w:val="single" w:sz="1" w:space="0" w:color="AAAAAA"/>
              <w:right w:val="single" w:sz="1" w:space="0" w:color="AAAAAA"/>
            </w:tcBorders>
            <w:shd w:val="clear" w:color="auto" w:fill="E8F4F5"/>
            <w:tcMar>
              <w:top w:w="100" w:type="dxa"/>
              <w:left w:w="160" w:type="dxa"/>
              <w:bottom w:w="100" w:type="dxa"/>
              <w:right w:w="160" w:type="dxa"/>
            </w:tcMar>
          </w:tcPr>
          <w:p w14:paraId="65750856" w14:textId="77777777" w:rsidR="00E415D5" w:rsidRDefault="00B114B8">
            <w:pPr>
              <w:spacing w:line="264" w:lineRule="auto"/>
            </w:pPr>
            <w:r>
              <w:rPr>
                <w:rFonts w:ascii="Arial" w:eastAsia="Arial" w:hAnsi="Arial" w:cs="Arial"/>
                <w:color w:val="1A1A2E"/>
                <w:sz w:val="20"/>
                <w:szCs w:val="20"/>
              </w:rPr>
              <w:t>Supported by 10-year STYL evidence and 4–5 year TF-CBT follow-up data. Durability is reinforced by continued caregiver communication.</w:t>
            </w:r>
          </w:p>
        </w:tc>
      </w:tr>
    </w:tbl>
    <w:p w14:paraId="4E231E36" w14:textId="77777777" w:rsidR="00E415D5" w:rsidRDefault="00E415D5">
      <w:pPr>
        <w:spacing w:after="100"/>
      </w:pPr>
    </w:p>
    <w:p w14:paraId="344AEED6" w14:textId="77777777" w:rsidR="00E415D5" w:rsidRDefault="00B114B8">
      <w:pPr>
        <w:pStyle w:val="Heading1"/>
        <w:pBdr>
          <w:bottom w:val="single" w:sz="6" w:space="6" w:color="1A6B72"/>
        </w:pBdr>
      </w:pPr>
      <w:r>
        <w:t>6. Next Steps for Programme Design</w:t>
      </w:r>
    </w:p>
    <w:p w14:paraId="14C526A1" w14:textId="245E9752" w:rsidR="00E415D5" w:rsidRDefault="00B114B8" w:rsidP="00925BE7">
      <w:pPr>
        <w:spacing w:before="60" w:after="120" w:line="276" w:lineRule="auto"/>
        <w:jc w:val="both"/>
      </w:pPr>
      <w:r>
        <w:rPr>
          <w:rFonts w:ascii="Arial" w:eastAsia="Arial" w:hAnsi="Arial" w:cs="Arial"/>
          <w:color w:val="1A1A2E"/>
          <w:sz w:val="22"/>
          <w:szCs w:val="22"/>
        </w:rPr>
        <w:t>The following decisions require expert input and contextual analysis before programme implementation:</w:t>
      </w:r>
    </w:p>
    <w:p w14:paraId="6A679825" w14:textId="77777777" w:rsidR="00E415D5" w:rsidRDefault="00B114B8">
      <w:pPr>
        <w:pStyle w:val="ListParagraph"/>
        <w:numPr>
          <w:ilvl w:val="0"/>
          <w:numId w:val="2"/>
        </w:numPr>
        <w:spacing w:before="40" w:after="40" w:line="264" w:lineRule="auto"/>
      </w:pPr>
      <w:r>
        <w:rPr>
          <w:color w:val="1A1A2E"/>
        </w:rPr>
        <w:t>Session modality (1:1, group, or mixed): analysis of target population size, trauma severity profiles, and resource constraints.</w:t>
      </w:r>
    </w:p>
    <w:p w14:paraId="2344C359" w14:textId="77777777" w:rsidR="00E415D5" w:rsidRDefault="00B114B8">
      <w:pPr>
        <w:pStyle w:val="ListParagraph"/>
        <w:numPr>
          <w:ilvl w:val="0"/>
          <w:numId w:val="2"/>
        </w:numPr>
        <w:spacing w:before="40" w:after="40" w:line="264" w:lineRule="auto"/>
      </w:pPr>
      <w:r>
        <w:rPr>
          <w:color w:val="1A1A2E"/>
        </w:rPr>
        <w:t>Location and venue selec</w:t>
      </w:r>
      <w:r>
        <w:rPr>
          <w:color w:val="1A1A2E"/>
        </w:rPr>
        <w:t>tion: mapping of participant residences, safe venue options, and transport or mobility barriers.</w:t>
      </w:r>
    </w:p>
    <w:p w14:paraId="2006E322" w14:textId="77777777" w:rsidR="00E415D5" w:rsidRDefault="00B114B8">
      <w:pPr>
        <w:pStyle w:val="ListParagraph"/>
        <w:numPr>
          <w:ilvl w:val="0"/>
          <w:numId w:val="2"/>
        </w:numPr>
        <w:spacing w:before="40" w:after="40" w:line="264" w:lineRule="auto"/>
      </w:pPr>
      <w:r>
        <w:rPr>
          <w:color w:val="1A1A2E"/>
        </w:rPr>
        <w:t>Data-sharing agreements with school administrations: legal and institutional framework for academic data access.</w:t>
      </w:r>
    </w:p>
    <w:p w14:paraId="434452DD" w14:textId="77777777" w:rsidR="00E415D5" w:rsidRDefault="00B114B8">
      <w:pPr>
        <w:pStyle w:val="ListParagraph"/>
        <w:numPr>
          <w:ilvl w:val="0"/>
          <w:numId w:val="2"/>
        </w:numPr>
        <w:spacing w:before="40" w:after="40" w:line="264" w:lineRule="auto"/>
      </w:pPr>
      <w:r>
        <w:rPr>
          <w:color w:val="1A1A2E"/>
        </w:rPr>
        <w:t>Intake assessment and safeguarding protocol: c</w:t>
      </w:r>
      <w:r>
        <w:rPr>
          <w:color w:val="1A1A2E"/>
        </w:rPr>
        <w:t>riteria for participation, abuser-contact assessment, and escalation procedures.</w:t>
      </w:r>
    </w:p>
    <w:p w14:paraId="2F2BB503" w14:textId="77777777" w:rsidR="00E415D5" w:rsidRDefault="00B114B8">
      <w:pPr>
        <w:pStyle w:val="ListParagraph"/>
        <w:numPr>
          <w:ilvl w:val="0"/>
          <w:numId w:val="2"/>
        </w:numPr>
        <w:spacing w:before="40" w:after="40" w:line="264" w:lineRule="auto"/>
      </w:pPr>
      <w:r>
        <w:rPr>
          <w:color w:val="1A1A2E"/>
        </w:rPr>
        <w:t>Facilitator recruitment, training standards, and clinical supervision structure.</w:t>
      </w:r>
    </w:p>
    <w:p w14:paraId="3ACC0DEE" w14:textId="77777777" w:rsidR="00E415D5" w:rsidRDefault="00B114B8">
      <w:pPr>
        <w:pStyle w:val="ListParagraph"/>
        <w:numPr>
          <w:ilvl w:val="0"/>
          <w:numId w:val="2"/>
        </w:numPr>
        <w:spacing w:before="40" w:after="40" w:line="264" w:lineRule="auto"/>
      </w:pPr>
      <w:r>
        <w:rPr>
          <w:color w:val="1A1A2E"/>
        </w:rPr>
        <w:t>Evaluation design: consideration of comparison group, outcome assessment independence, and fol</w:t>
      </w:r>
      <w:r>
        <w:rPr>
          <w:color w:val="1A1A2E"/>
        </w:rPr>
        <w:t>low-up timeline.</w:t>
      </w:r>
    </w:p>
    <w:p w14:paraId="413F3522" w14:textId="77777777" w:rsidR="00E415D5" w:rsidRDefault="00E415D5">
      <w:pPr>
        <w:spacing w:after="80"/>
      </w:pPr>
    </w:p>
    <w:p w14:paraId="30E632BE" w14:textId="77777777" w:rsidR="00E415D5" w:rsidRDefault="00B114B8">
      <w:pPr>
        <w:pBdr>
          <w:top w:val="single" w:sz="2" w:space="8" w:color="AAAAAA"/>
        </w:pBdr>
        <w:spacing w:after="60"/>
      </w:pPr>
      <w:r>
        <w:rPr>
          <w:rFonts w:ascii="Arial" w:eastAsia="Arial" w:hAnsi="Arial" w:cs="Arial"/>
          <w:b/>
          <w:bCs/>
          <w:color w:val="555555"/>
          <w:sz w:val="19"/>
          <w:szCs w:val="19"/>
        </w:rPr>
        <w:t>Reference</w:t>
      </w:r>
    </w:p>
    <w:p w14:paraId="3B5BF55F" w14:textId="4B547718" w:rsidR="00A222B8" w:rsidRDefault="00A222B8">
      <w:pPr>
        <w:spacing w:after="60" w:line="252" w:lineRule="auto"/>
        <w:rPr>
          <w:rFonts w:ascii="Arial" w:eastAsia="Arial" w:hAnsi="Arial" w:cs="Arial"/>
          <w:color w:val="1A6B72"/>
          <w:sz w:val="19"/>
          <w:szCs w:val="19"/>
        </w:rPr>
      </w:pPr>
    </w:p>
    <w:p w14:paraId="30813521" w14:textId="21F61FB7" w:rsidR="00A222B8" w:rsidRDefault="00A222B8" w:rsidP="00A222B8">
      <w:pPr>
        <w:spacing w:after="60" w:line="252" w:lineRule="auto"/>
        <w:rPr>
          <w:rFonts w:ascii="Arial" w:eastAsia="Arial" w:hAnsi="Arial" w:cs="Arial"/>
          <w:i/>
          <w:iCs/>
          <w:color w:val="555555"/>
          <w:sz w:val="19"/>
          <w:szCs w:val="19"/>
        </w:rPr>
      </w:pPr>
      <w:r w:rsidRPr="00A222B8">
        <w:rPr>
          <w:rFonts w:ascii="Arial" w:eastAsia="Arial" w:hAnsi="Arial" w:cs="Arial"/>
          <w:i/>
          <w:iCs/>
          <w:color w:val="555555"/>
          <w:sz w:val="19"/>
          <w:szCs w:val="19"/>
        </w:rPr>
        <w:t>Blattman, C., Jamison, J., &amp; Sheridan, M. (2017). Reducing crime and violence: Experimental evidence from cognitive behavioral therapy in Liberia. American Economic Review, 107(4), 1165–1206.</w:t>
      </w:r>
    </w:p>
    <w:p w14:paraId="7A2B7FCD" w14:textId="77777777" w:rsidR="00A222B8" w:rsidRPr="00A222B8" w:rsidRDefault="00A222B8" w:rsidP="00A222B8">
      <w:pPr>
        <w:spacing w:after="60" w:line="252" w:lineRule="auto"/>
        <w:rPr>
          <w:rFonts w:ascii="Arial" w:eastAsia="Arial" w:hAnsi="Arial" w:cs="Arial"/>
          <w:i/>
          <w:iCs/>
          <w:color w:val="555555"/>
          <w:sz w:val="19"/>
          <w:szCs w:val="19"/>
        </w:rPr>
      </w:pPr>
    </w:p>
    <w:p w14:paraId="67DFF96B" w14:textId="24F6148E" w:rsidR="00A222B8" w:rsidRDefault="00A222B8" w:rsidP="00A222B8">
      <w:pPr>
        <w:spacing w:after="60" w:line="252" w:lineRule="auto"/>
        <w:rPr>
          <w:rFonts w:ascii="Arial" w:eastAsia="Arial" w:hAnsi="Arial" w:cs="Arial"/>
          <w:i/>
          <w:iCs/>
          <w:color w:val="555555"/>
          <w:sz w:val="19"/>
          <w:szCs w:val="19"/>
        </w:rPr>
      </w:pPr>
      <w:r w:rsidRPr="00A222B8">
        <w:rPr>
          <w:rFonts w:ascii="Arial" w:eastAsia="Arial" w:hAnsi="Arial" w:cs="Arial"/>
          <w:i/>
          <w:iCs/>
          <w:color w:val="555555"/>
          <w:sz w:val="19"/>
          <w:szCs w:val="19"/>
        </w:rPr>
        <w:lastRenderedPageBreak/>
        <w:t>Bryant, R. A., et al. (2017). Effectiveness of a brief behavioural intervention on psychological distress among women with a history of gender-based violence in urban Kenya. PLoS Medicine, 14(8).</w:t>
      </w:r>
    </w:p>
    <w:p w14:paraId="0F7F4E93" w14:textId="77777777" w:rsidR="00A222B8" w:rsidRPr="00A222B8" w:rsidRDefault="00A222B8" w:rsidP="00A222B8">
      <w:pPr>
        <w:spacing w:after="60" w:line="252" w:lineRule="auto"/>
        <w:rPr>
          <w:rFonts w:ascii="Arial" w:eastAsia="Arial" w:hAnsi="Arial" w:cs="Arial"/>
          <w:i/>
          <w:iCs/>
          <w:color w:val="555555"/>
          <w:sz w:val="19"/>
          <w:szCs w:val="19"/>
        </w:rPr>
      </w:pPr>
    </w:p>
    <w:p w14:paraId="16707430" w14:textId="6C1AB507" w:rsidR="00A222B8" w:rsidRDefault="00A222B8" w:rsidP="00A222B8">
      <w:pPr>
        <w:spacing w:after="60" w:line="252" w:lineRule="auto"/>
        <w:rPr>
          <w:rFonts w:ascii="Arial" w:eastAsia="Arial" w:hAnsi="Arial" w:cs="Arial"/>
          <w:i/>
          <w:iCs/>
          <w:color w:val="555555"/>
          <w:sz w:val="19"/>
          <w:szCs w:val="19"/>
        </w:rPr>
      </w:pPr>
      <w:r w:rsidRPr="00A222B8">
        <w:rPr>
          <w:rFonts w:ascii="Arial" w:eastAsia="Arial" w:hAnsi="Arial" w:cs="Arial"/>
          <w:i/>
          <w:iCs/>
          <w:color w:val="555555"/>
          <w:sz w:val="19"/>
          <w:szCs w:val="19"/>
        </w:rPr>
        <w:t>Cohen, J. A., Mannarino, A. P., &amp; Deblinger, E. (2006). Treating trauma and traumatic grief in children and adolescents. Guilford Press.</w:t>
      </w:r>
    </w:p>
    <w:p w14:paraId="579FB52B" w14:textId="77777777" w:rsidR="00A222B8" w:rsidRPr="00A222B8" w:rsidRDefault="00A222B8" w:rsidP="00A222B8">
      <w:pPr>
        <w:spacing w:after="60" w:line="252" w:lineRule="auto"/>
        <w:rPr>
          <w:rFonts w:ascii="Arial" w:eastAsia="Arial" w:hAnsi="Arial" w:cs="Arial"/>
          <w:i/>
          <w:iCs/>
          <w:color w:val="555555"/>
          <w:sz w:val="19"/>
          <w:szCs w:val="19"/>
        </w:rPr>
      </w:pPr>
    </w:p>
    <w:p w14:paraId="732601A4" w14:textId="64F74200" w:rsidR="00A222B8" w:rsidRDefault="00A222B8" w:rsidP="00A222B8">
      <w:pPr>
        <w:spacing w:after="60" w:line="252" w:lineRule="auto"/>
        <w:rPr>
          <w:rFonts w:ascii="Arial" w:eastAsia="Arial" w:hAnsi="Arial" w:cs="Arial"/>
          <w:i/>
          <w:iCs/>
          <w:color w:val="555555"/>
          <w:sz w:val="19"/>
          <w:szCs w:val="19"/>
        </w:rPr>
      </w:pPr>
      <w:r w:rsidRPr="00A222B8">
        <w:rPr>
          <w:rFonts w:ascii="Arial" w:eastAsia="Arial" w:hAnsi="Arial" w:cs="Arial"/>
          <w:i/>
          <w:iCs/>
          <w:color w:val="555555"/>
          <w:sz w:val="19"/>
          <w:szCs w:val="19"/>
        </w:rPr>
        <w:t>Graham-Bermann, S. A., Lynch, S., Banyard, V., DeVoe, E. R., &amp; Halabu, H. (2007). Community-based intervention for children exposed to intimate partner violence: An efficacy trial. Journal of Consulting and Clinical Psychology, 75(2), 199–209.</w:t>
      </w:r>
    </w:p>
    <w:p w14:paraId="7CABF674" w14:textId="77777777" w:rsidR="00A222B8" w:rsidRPr="00A222B8" w:rsidRDefault="00A222B8" w:rsidP="00A222B8">
      <w:pPr>
        <w:spacing w:after="60" w:line="252" w:lineRule="auto"/>
        <w:rPr>
          <w:rFonts w:ascii="Arial" w:eastAsia="Arial" w:hAnsi="Arial" w:cs="Arial"/>
          <w:i/>
          <w:iCs/>
          <w:color w:val="555555"/>
          <w:sz w:val="19"/>
          <w:szCs w:val="19"/>
        </w:rPr>
      </w:pPr>
    </w:p>
    <w:p w14:paraId="1419F73A" w14:textId="33910E18" w:rsidR="00A222B8" w:rsidRDefault="00A222B8" w:rsidP="00A222B8">
      <w:pPr>
        <w:spacing w:after="60" w:line="252" w:lineRule="auto"/>
        <w:rPr>
          <w:rFonts w:ascii="Arial" w:eastAsia="Arial" w:hAnsi="Arial" w:cs="Arial"/>
          <w:i/>
          <w:iCs/>
          <w:color w:val="555555"/>
          <w:sz w:val="19"/>
          <w:szCs w:val="19"/>
        </w:rPr>
      </w:pPr>
      <w:r w:rsidRPr="00A222B8">
        <w:rPr>
          <w:rFonts w:ascii="Arial" w:eastAsia="Arial" w:hAnsi="Arial" w:cs="Arial"/>
          <w:i/>
          <w:iCs/>
          <w:color w:val="555555"/>
          <w:sz w:val="19"/>
          <w:szCs w:val="19"/>
        </w:rPr>
        <w:t>Haushofer, J., Mudida, R., &amp; Shapiro, J. (2023). The comparative impact of cash transfers and a psychotherapy program on psychological and economic well-being [Working paper].</w:t>
      </w:r>
    </w:p>
    <w:p w14:paraId="5ED67945" w14:textId="77777777" w:rsidR="00A222B8" w:rsidRPr="00A222B8" w:rsidRDefault="00A222B8" w:rsidP="00A222B8">
      <w:pPr>
        <w:spacing w:after="60" w:line="252" w:lineRule="auto"/>
        <w:rPr>
          <w:rFonts w:ascii="Arial" w:eastAsia="Arial" w:hAnsi="Arial" w:cs="Arial"/>
          <w:i/>
          <w:iCs/>
          <w:color w:val="555555"/>
          <w:sz w:val="19"/>
          <w:szCs w:val="19"/>
        </w:rPr>
      </w:pPr>
    </w:p>
    <w:p w14:paraId="432E2F48" w14:textId="11DA9FD7" w:rsidR="00A222B8" w:rsidRDefault="00A222B8" w:rsidP="00A222B8">
      <w:pPr>
        <w:spacing w:after="60" w:line="252" w:lineRule="auto"/>
        <w:rPr>
          <w:rFonts w:ascii="Arial" w:eastAsia="Arial" w:hAnsi="Arial" w:cs="Arial"/>
          <w:i/>
          <w:iCs/>
          <w:color w:val="555555"/>
          <w:sz w:val="19"/>
          <w:szCs w:val="19"/>
        </w:rPr>
      </w:pPr>
      <w:r w:rsidRPr="00A222B8">
        <w:rPr>
          <w:rFonts w:ascii="Arial" w:eastAsia="Arial" w:hAnsi="Arial" w:cs="Arial"/>
          <w:i/>
          <w:iCs/>
          <w:color w:val="555555"/>
          <w:sz w:val="19"/>
          <w:szCs w:val="19"/>
        </w:rPr>
        <w:t>Heller, S. B., et al. (2017). Thinking, fast and slow? Some field experiments to reduce crime and dropout in Chicago. The Quarterly Journal of Economics, 132(1), 1–54.</w:t>
      </w:r>
    </w:p>
    <w:p w14:paraId="0B32B687" w14:textId="77777777" w:rsidR="00A222B8" w:rsidRPr="00A222B8" w:rsidRDefault="00A222B8" w:rsidP="00A222B8">
      <w:pPr>
        <w:spacing w:after="60" w:line="252" w:lineRule="auto"/>
        <w:rPr>
          <w:rFonts w:ascii="Arial" w:eastAsia="Arial" w:hAnsi="Arial" w:cs="Arial"/>
          <w:i/>
          <w:iCs/>
          <w:color w:val="555555"/>
          <w:sz w:val="19"/>
          <w:szCs w:val="19"/>
        </w:rPr>
      </w:pPr>
    </w:p>
    <w:p w14:paraId="5DD8B45F" w14:textId="64716A5B" w:rsidR="00A222B8" w:rsidRDefault="00A222B8" w:rsidP="00A222B8">
      <w:pPr>
        <w:spacing w:after="60" w:line="252" w:lineRule="auto"/>
        <w:rPr>
          <w:rFonts w:ascii="Arial" w:eastAsia="Arial" w:hAnsi="Arial" w:cs="Arial"/>
          <w:i/>
          <w:iCs/>
          <w:color w:val="555555"/>
          <w:sz w:val="19"/>
          <w:szCs w:val="19"/>
        </w:rPr>
      </w:pPr>
      <w:r w:rsidRPr="00A222B8">
        <w:rPr>
          <w:rFonts w:ascii="Arial" w:eastAsia="Arial" w:hAnsi="Arial" w:cs="Arial"/>
          <w:i/>
          <w:iCs/>
          <w:color w:val="555555"/>
          <w:sz w:val="19"/>
          <w:szCs w:val="19"/>
        </w:rPr>
        <w:t>Holt, S., Buckley, H., &amp; Whelan, S. (2008). The impact of exposure to domestic violence on children and young people: A review of the literature. Child Abuse &amp; Neglect, 32(8), 797–810.</w:t>
      </w:r>
    </w:p>
    <w:p w14:paraId="6E0A07D0" w14:textId="77777777" w:rsidR="00A222B8" w:rsidRPr="00A222B8" w:rsidRDefault="00A222B8" w:rsidP="00A222B8">
      <w:pPr>
        <w:spacing w:after="60" w:line="252" w:lineRule="auto"/>
        <w:rPr>
          <w:rFonts w:ascii="Arial" w:eastAsia="Arial" w:hAnsi="Arial" w:cs="Arial"/>
          <w:i/>
          <w:iCs/>
          <w:color w:val="555555"/>
          <w:sz w:val="19"/>
          <w:szCs w:val="19"/>
        </w:rPr>
      </w:pPr>
    </w:p>
    <w:p w14:paraId="5D8C8AD5" w14:textId="740999D1" w:rsidR="00A222B8" w:rsidRDefault="00A222B8" w:rsidP="00A222B8">
      <w:pPr>
        <w:spacing w:after="60" w:line="252" w:lineRule="auto"/>
        <w:rPr>
          <w:rFonts w:ascii="Arial" w:eastAsia="Arial" w:hAnsi="Arial" w:cs="Arial"/>
          <w:i/>
          <w:iCs/>
          <w:color w:val="555555"/>
          <w:sz w:val="19"/>
          <w:szCs w:val="19"/>
        </w:rPr>
      </w:pPr>
      <w:r w:rsidRPr="00A222B8">
        <w:rPr>
          <w:rFonts w:ascii="Arial" w:eastAsia="Arial" w:hAnsi="Arial" w:cs="Arial"/>
          <w:i/>
          <w:iCs/>
          <w:color w:val="555555"/>
          <w:sz w:val="19"/>
          <w:szCs w:val="19"/>
        </w:rPr>
        <w:t>Howarth, E., Moore, T. H. M., Welton, N. J., et al. (2016). IMPRoving outcomes for children exposed to domestic violence (IMPROVE): An evidence synthesis. NIHR Journals Library.</w:t>
      </w:r>
    </w:p>
    <w:p w14:paraId="2F5ED72B" w14:textId="77777777" w:rsidR="00A222B8" w:rsidRPr="00A222B8" w:rsidRDefault="00A222B8" w:rsidP="00A222B8">
      <w:pPr>
        <w:spacing w:after="60" w:line="252" w:lineRule="auto"/>
        <w:rPr>
          <w:rFonts w:ascii="Arial" w:eastAsia="Arial" w:hAnsi="Arial" w:cs="Arial"/>
          <w:i/>
          <w:iCs/>
          <w:color w:val="555555"/>
          <w:sz w:val="19"/>
          <w:szCs w:val="19"/>
        </w:rPr>
      </w:pPr>
    </w:p>
    <w:p w14:paraId="73B703EA" w14:textId="17082999" w:rsidR="00A222B8" w:rsidRDefault="00A222B8" w:rsidP="00A222B8">
      <w:pPr>
        <w:spacing w:after="60" w:line="252" w:lineRule="auto"/>
        <w:rPr>
          <w:rFonts w:ascii="Arial" w:eastAsia="Arial" w:hAnsi="Arial" w:cs="Arial"/>
          <w:i/>
          <w:iCs/>
          <w:color w:val="555555"/>
          <w:sz w:val="19"/>
          <w:szCs w:val="19"/>
        </w:rPr>
      </w:pPr>
      <w:r w:rsidRPr="00A222B8">
        <w:rPr>
          <w:rFonts w:ascii="Arial" w:eastAsia="Arial" w:hAnsi="Arial" w:cs="Arial"/>
          <w:i/>
          <w:iCs/>
          <w:color w:val="555555"/>
          <w:sz w:val="19"/>
          <w:szCs w:val="19"/>
        </w:rPr>
        <w:t>Onsjö, M., Axberg, U., Hultmann, O., &amp; Strand, J. (2026). A mixed-methods evaluation of long-term outcomes after trauma-focused cognitive behavioural therapy for children subjected to family violence. Psychotherapy Research, 36(2), 324–338.</w:t>
      </w:r>
    </w:p>
    <w:p w14:paraId="2F308922" w14:textId="77777777" w:rsidR="00A222B8" w:rsidRPr="00A222B8" w:rsidRDefault="00A222B8" w:rsidP="00A222B8">
      <w:pPr>
        <w:spacing w:after="60" w:line="252" w:lineRule="auto"/>
        <w:rPr>
          <w:rFonts w:ascii="Arial" w:eastAsia="Arial" w:hAnsi="Arial" w:cs="Arial"/>
          <w:i/>
          <w:iCs/>
          <w:color w:val="555555"/>
          <w:sz w:val="19"/>
          <w:szCs w:val="19"/>
        </w:rPr>
      </w:pPr>
    </w:p>
    <w:p w14:paraId="4F1E0F7C" w14:textId="04C7017F" w:rsidR="00A222B8" w:rsidRDefault="00A222B8" w:rsidP="00A222B8">
      <w:pPr>
        <w:spacing w:after="60" w:line="252" w:lineRule="auto"/>
        <w:rPr>
          <w:rFonts w:ascii="Arial" w:eastAsia="Arial" w:hAnsi="Arial" w:cs="Arial"/>
          <w:i/>
          <w:iCs/>
          <w:color w:val="555555"/>
          <w:sz w:val="19"/>
          <w:szCs w:val="19"/>
        </w:rPr>
      </w:pPr>
      <w:r w:rsidRPr="00A222B8">
        <w:rPr>
          <w:rFonts w:ascii="Arial" w:eastAsia="Arial" w:hAnsi="Arial" w:cs="Arial"/>
          <w:i/>
          <w:iCs/>
          <w:color w:val="555555"/>
          <w:sz w:val="19"/>
          <w:szCs w:val="19"/>
        </w:rPr>
        <w:t xml:space="preserve">van Rosmalen-Nooijens, K. A. W. L., Prins, J. B., Vergeer, M., Wong, S. H., &amp; Lagro-Janssen, A. L. (2013). "Young people, adult worries": RCT of an internet-based self-support method "Feel the ViBe" for children, adolescents and young adults exposed to family violence, a study protocol. BMC Public Health, 13, Article 226. </w:t>
      </w:r>
      <w:hyperlink r:id="rId8" w:history="1">
        <w:r w:rsidRPr="00A222B8">
          <w:rPr>
            <w:rFonts w:ascii="Arial" w:eastAsia="Arial" w:hAnsi="Arial" w:cs="Arial"/>
            <w:i/>
            <w:iCs/>
            <w:color w:val="555555"/>
            <w:sz w:val="19"/>
            <w:szCs w:val="19"/>
          </w:rPr>
          <w:t>https://doi.org/10.1186/1471-2458-13-226</w:t>
        </w:r>
      </w:hyperlink>
    </w:p>
    <w:p w14:paraId="61911CBB" w14:textId="77777777" w:rsidR="00A222B8" w:rsidRPr="00A222B8" w:rsidRDefault="00A222B8" w:rsidP="00A222B8">
      <w:pPr>
        <w:spacing w:after="60" w:line="252" w:lineRule="auto"/>
        <w:rPr>
          <w:rFonts w:ascii="Arial" w:eastAsia="Arial" w:hAnsi="Arial" w:cs="Arial"/>
          <w:i/>
          <w:iCs/>
          <w:color w:val="555555"/>
          <w:sz w:val="19"/>
          <w:szCs w:val="19"/>
        </w:rPr>
      </w:pPr>
    </w:p>
    <w:p w14:paraId="4F44DC0A" w14:textId="77777777" w:rsidR="00A222B8" w:rsidRPr="00A222B8" w:rsidRDefault="00A222B8" w:rsidP="00A222B8">
      <w:pPr>
        <w:spacing w:after="60" w:line="252" w:lineRule="auto"/>
        <w:rPr>
          <w:rFonts w:ascii="Arial" w:eastAsia="Arial" w:hAnsi="Arial" w:cs="Arial"/>
          <w:i/>
          <w:iCs/>
          <w:color w:val="555555"/>
          <w:sz w:val="19"/>
          <w:szCs w:val="19"/>
        </w:rPr>
      </w:pPr>
      <w:r w:rsidRPr="00A222B8">
        <w:rPr>
          <w:rFonts w:ascii="Arial" w:eastAsia="Arial" w:hAnsi="Arial" w:cs="Arial"/>
          <w:i/>
          <w:iCs/>
          <w:color w:val="555555"/>
          <w:sz w:val="19"/>
          <w:szCs w:val="19"/>
        </w:rPr>
        <w:t>Vickerman, K. A., &amp; Margolin, G. (2007). Post-traumatic stress in children and adolescents exposed to family violence: II. Treatment. Professional Psychology: Research and Practice, 38(6), 620–628.</w:t>
      </w:r>
    </w:p>
    <w:p w14:paraId="0269B20F" w14:textId="77777777" w:rsidR="00A222B8" w:rsidRDefault="00A222B8">
      <w:pPr>
        <w:spacing w:after="60" w:line="252" w:lineRule="auto"/>
      </w:pPr>
    </w:p>
    <w:sectPr w:rsidR="00A222B8">
      <w:footerReference w:type="default" r:id="rId9"/>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1E1A8" w14:textId="77777777" w:rsidR="00B114B8" w:rsidRDefault="00B114B8">
      <w:r>
        <w:separator/>
      </w:r>
    </w:p>
  </w:endnote>
  <w:endnote w:type="continuationSeparator" w:id="0">
    <w:p w14:paraId="509E4CA5" w14:textId="77777777" w:rsidR="00B114B8" w:rsidRDefault="00B11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9B6E5" w14:textId="77777777" w:rsidR="00E415D5" w:rsidRDefault="00B114B8">
    <w:pPr>
      <w:jc w:val="center"/>
    </w:pPr>
    <w:r>
      <w:rPr>
        <w:rFonts w:ascii="Arial" w:eastAsia="Arial" w:hAnsi="Arial" w:cs="Arial"/>
        <w:color w:val="555555"/>
        <w:sz w:val="18"/>
        <w:szCs w:val="18"/>
      </w:rPr>
      <w:t xml:space="preserve">Breaking the Cycle — Programmatic Theory of Change  |  Page </w:t>
    </w:r>
    <w:r>
      <w:rPr>
        <w:color w:val="555555"/>
        <w:sz w:val="18"/>
        <w:szCs w:val="18"/>
      </w:rPr>
      <w:fldChar w:fldCharType="begin"/>
    </w:r>
    <w:r>
      <w:rPr>
        <w:rFonts w:ascii="Arial" w:eastAsia="Arial" w:hAnsi="Arial" w:cs="Arial"/>
        <w:color w:val="555555"/>
        <w:sz w:val="18"/>
        <w:szCs w:val="18"/>
      </w:rPr>
      <w:instrText>PAGE</w:instrText>
    </w:r>
    <w:r>
      <w:rPr>
        <w:color w:val="555555"/>
        <w:sz w:val="18"/>
        <w:szCs w:val="18"/>
      </w:rPr>
      <w:fldChar w:fldCharType="separate"/>
    </w:r>
    <w:r w:rsidR="004F3545">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40CF7" w14:textId="77777777" w:rsidR="00B114B8" w:rsidRDefault="00B114B8">
      <w:r>
        <w:separator/>
      </w:r>
    </w:p>
  </w:footnote>
  <w:footnote w:type="continuationSeparator" w:id="0">
    <w:p w14:paraId="606E72FA" w14:textId="77777777" w:rsidR="00B114B8" w:rsidRDefault="00B114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2E2477"/>
    <w:multiLevelType w:val="hybridMultilevel"/>
    <w:tmpl w:val="4EA80B0A"/>
    <w:lvl w:ilvl="0" w:tplc="C916D92E">
      <w:start w:val="1"/>
      <w:numFmt w:val="bullet"/>
      <w:lvlText w:val="•"/>
      <w:lvlJc w:val="left"/>
      <w:pPr>
        <w:ind w:left="720" w:hanging="360"/>
      </w:pPr>
    </w:lvl>
    <w:lvl w:ilvl="1" w:tplc="5D02A206">
      <w:numFmt w:val="decimal"/>
      <w:lvlText w:val=""/>
      <w:lvlJc w:val="left"/>
    </w:lvl>
    <w:lvl w:ilvl="2" w:tplc="47D295F2">
      <w:numFmt w:val="decimal"/>
      <w:lvlText w:val=""/>
      <w:lvlJc w:val="left"/>
    </w:lvl>
    <w:lvl w:ilvl="3" w:tplc="DEB214F4">
      <w:numFmt w:val="decimal"/>
      <w:lvlText w:val=""/>
      <w:lvlJc w:val="left"/>
    </w:lvl>
    <w:lvl w:ilvl="4" w:tplc="5A48DD82">
      <w:numFmt w:val="decimal"/>
      <w:lvlText w:val=""/>
      <w:lvlJc w:val="left"/>
    </w:lvl>
    <w:lvl w:ilvl="5" w:tplc="8300F78A">
      <w:numFmt w:val="decimal"/>
      <w:lvlText w:val=""/>
      <w:lvlJc w:val="left"/>
    </w:lvl>
    <w:lvl w:ilvl="6" w:tplc="068699FA">
      <w:numFmt w:val="decimal"/>
      <w:lvlText w:val=""/>
      <w:lvlJc w:val="left"/>
    </w:lvl>
    <w:lvl w:ilvl="7" w:tplc="83AA8A5A">
      <w:numFmt w:val="decimal"/>
      <w:lvlText w:val=""/>
      <w:lvlJc w:val="left"/>
    </w:lvl>
    <w:lvl w:ilvl="8" w:tplc="260626A8">
      <w:numFmt w:val="decimal"/>
      <w:lvlText w:val=""/>
      <w:lvlJc w:val="left"/>
    </w:lvl>
  </w:abstractNum>
  <w:abstractNum w:abstractNumId="1" w15:restartNumberingAfterBreak="0">
    <w:nsid w:val="420B5CCC"/>
    <w:multiLevelType w:val="hybridMultilevel"/>
    <w:tmpl w:val="90604A98"/>
    <w:lvl w:ilvl="0" w:tplc="11E6F0CA">
      <w:start w:val="1"/>
      <w:numFmt w:val="bullet"/>
      <w:lvlText w:val="◦"/>
      <w:lvlJc w:val="left"/>
      <w:pPr>
        <w:ind w:left="1080" w:hanging="360"/>
      </w:pPr>
    </w:lvl>
    <w:lvl w:ilvl="1" w:tplc="0D0265F6">
      <w:numFmt w:val="decimal"/>
      <w:lvlText w:val=""/>
      <w:lvlJc w:val="left"/>
    </w:lvl>
    <w:lvl w:ilvl="2" w:tplc="163A306C">
      <w:numFmt w:val="decimal"/>
      <w:lvlText w:val=""/>
      <w:lvlJc w:val="left"/>
    </w:lvl>
    <w:lvl w:ilvl="3" w:tplc="FC001EA2">
      <w:numFmt w:val="decimal"/>
      <w:lvlText w:val=""/>
      <w:lvlJc w:val="left"/>
    </w:lvl>
    <w:lvl w:ilvl="4" w:tplc="85E40948">
      <w:numFmt w:val="decimal"/>
      <w:lvlText w:val=""/>
      <w:lvlJc w:val="left"/>
    </w:lvl>
    <w:lvl w:ilvl="5" w:tplc="6B5E53AC">
      <w:numFmt w:val="decimal"/>
      <w:lvlText w:val=""/>
      <w:lvlJc w:val="left"/>
    </w:lvl>
    <w:lvl w:ilvl="6" w:tplc="4DA66EAC">
      <w:numFmt w:val="decimal"/>
      <w:lvlText w:val=""/>
      <w:lvlJc w:val="left"/>
    </w:lvl>
    <w:lvl w:ilvl="7" w:tplc="292244A0">
      <w:numFmt w:val="decimal"/>
      <w:lvlText w:val=""/>
      <w:lvlJc w:val="left"/>
    </w:lvl>
    <w:lvl w:ilvl="8" w:tplc="36DE36C0">
      <w:numFmt w:val="decimal"/>
      <w:lvlText w:val=""/>
      <w:lvlJc w:val="left"/>
    </w:lvl>
  </w:abstractNum>
  <w:abstractNum w:abstractNumId="2" w15:restartNumberingAfterBreak="0">
    <w:nsid w:val="4DB61307"/>
    <w:multiLevelType w:val="hybridMultilevel"/>
    <w:tmpl w:val="5DDC22C4"/>
    <w:lvl w:ilvl="0" w:tplc="12F23ABC">
      <w:start w:val="1"/>
      <w:numFmt w:val="bullet"/>
      <w:lvlText w:val="●"/>
      <w:lvlJc w:val="left"/>
      <w:pPr>
        <w:ind w:left="720" w:hanging="360"/>
      </w:pPr>
    </w:lvl>
    <w:lvl w:ilvl="1" w:tplc="AF2EF454">
      <w:start w:val="1"/>
      <w:numFmt w:val="bullet"/>
      <w:lvlText w:val="○"/>
      <w:lvlJc w:val="left"/>
      <w:pPr>
        <w:ind w:left="1440" w:hanging="360"/>
      </w:pPr>
    </w:lvl>
    <w:lvl w:ilvl="2" w:tplc="F7D89B4A">
      <w:start w:val="1"/>
      <w:numFmt w:val="bullet"/>
      <w:lvlText w:val="■"/>
      <w:lvlJc w:val="left"/>
      <w:pPr>
        <w:ind w:left="2160" w:hanging="360"/>
      </w:pPr>
    </w:lvl>
    <w:lvl w:ilvl="3" w:tplc="117ADB3E">
      <w:start w:val="1"/>
      <w:numFmt w:val="bullet"/>
      <w:lvlText w:val="●"/>
      <w:lvlJc w:val="left"/>
      <w:pPr>
        <w:ind w:left="2880" w:hanging="360"/>
      </w:pPr>
    </w:lvl>
    <w:lvl w:ilvl="4" w:tplc="9936220A">
      <w:start w:val="1"/>
      <w:numFmt w:val="bullet"/>
      <w:lvlText w:val="○"/>
      <w:lvlJc w:val="left"/>
      <w:pPr>
        <w:ind w:left="3600" w:hanging="360"/>
      </w:pPr>
    </w:lvl>
    <w:lvl w:ilvl="5" w:tplc="577A4424">
      <w:start w:val="1"/>
      <w:numFmt w:val="bullet"/>
      <w:lvlText w:val="■"/>
      <w:lvlJc w:val="left"/>
      <w:pPr>
        <w:ind w:left="4320" w:hanging="360"/>
      </w:pPr>
    </w:lvl>
    <w:lvl w:ilvl="6" w:tplc="AC247950">
      <w:start w:val="1"/>
      <w:numFmt w:val="bullet"/>
      <w:lvlText w:val="●"/>
      <w:lvlJc w:val="left"/>
      <w:pPr>
        <w:ind w:left="5040" w:hanging="360"/>
      </w:pPr>
    </w:lvl>
    <w:lvl w:ilvl="7" w:tplc="6E204930">
      <w:start w:val="1"/>
      <w:numFmt w:val="bullet"/>
      <w:lvlText w:val="●"/>
      <w:lvlJc w:val="left"/>
      <w:pPr>
        <w:ind w:left="5760" w:hanging="360"/>
      </w:pPr>
    </w:lvl>
    <w:lvl w:ilvl="8" w:tplc="08B6B2E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5D5"/>
    <w:rsid w:val="000536CE"/>
    <w:rsid w:val="002616F0"/>
    <w:rsid w:val="00292A21"/>
    <w:rsid w:val="003139B0"/>
    <w:rsid w:val="00316A23"/>
    <w:rsid w:val="00360971"/>
    <w:rsid w:val="004C4A9C"/>
    <w:rsid w:val="004F3545"/>
    <w:rsid w:val="00597AED"/>
    <w:rsid w:val="006F17DD"/>
    <w:rsid w:val="007C7DB5"/>
    <w:rsid w:val="00867809"/>
    <w:rsid w:val="008D7B24"/>
    <w:rsid w:val="0091178F"/>
    <w:rsid w:val="00925BE7"/>
    <w:rsid w:val="0093713F"/>
    <w:rsid w:val="009B198A"/>
    <w:rsid w:val="00A06176"/>
    <w:rsid w:val="00A222B8"/>
    <w:rsid w:val="00A36AB1"/>
    <w:rsid w:val="00A755AA"/>
    <w:rsid w:val="00B02F31"/>
    <w:rsid w:val="00B114B8"/>
    <w:rsid w:val="00CA3858"/>
    <w:rsid w:val="00D3621F"/>
    <w:rsid w:val="00D66815"/>
    <w:rsid w:val="00D71023"/>
    <w:rsid w:val="00E415D5"/>
    <w:rsid w:val="00E7002B"/>
    <w:rsid w:val="00E7693A"/>
    <w:rsid w:val="00F00B6F"/>
    <w:rsid w:val="00F72A94"/>
    <w:rsid w:val="00F94ED5"/>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B6F5"/>
  <w15:docId w15:val="{3ADDA389-91AC-9643-A200-78F4ED388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B24"/>
    <w:rPr>
      <w:rFonts w:ascii="Times New Roman" w:eastAsia="Times New Roman" w:hAnsi="Times New Roman" w:cs="Times New Roman"/>
      <w:sz w:val="24"/>
      <w:szCs w:val="24"/>
    </w:rPr>
  </w:style>
  <w:style w:type="paragraph" w:styleId="Heading1">
    <w:name w:val="heading 1"/>
    <w:link w:val="Heading1Char"/>
    <w:uiPriority w:val="9"/>
    <w:qFormat/>
    <w:pPr>
      <w:spacing w:before="320" w:after="140"/>
      <w:outlineLvl w:val="0"/>
    </w:pPr>
    <w:rPr>
      <w:b/>
      <w:bCs/>
      <w:color w:val="1A6B72"/>
      <w:sz w:val="26"/>
      <w:szCs w:val="26"/>
    </w:rPr>
  </w:style>
  <w:style w:type="paragraph" w:styleId="Heading2">
    <w:name w:val="heading 2"/>
    <w:uiPriority w:val="9"/>
    <w:unhideWhenUsed/>
    <w:qFormat/>
    <w:pPr>
      <w:spacing w:before="240" w:after="100"/>
      <w:outlineLvl w:val="1"/>
    </w:pPr>
    <w:rPr>
      <w:b/>
      <w:bCs/>
      <w:color w:val="1A1A2E"/>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F72A94"/>
    <w:pPr>
      <w:spacing w:after="200"/>
    </w:pPr>
    <w:rPr>
      <w:i/>
      <w:iCs/>
      <w:color w:val="44546A" w:themeColor="text2"/>
      <w:sz w:val="18"/>
      <w:szCs w:val="18"/>
    </w:rPr>
  </w:style>
  <w:style w:type="character" w:customStyle="1" w:styleId="Heading1Char">
    <w:name w:val="Heading 1 Char"/>
    <w:basedOn w:val="DefaultParagraphFont"/>
    <w:link w:val="Heading1"/>
    <w:uiPriority w:val="9"/>
    <w:rsid w:val="00D3621F"/>
    <w:rPr>
      <w:b/>
      <w:bCs/>
      <w:color w:val="1A6B72"/>
      <w:sz w:val="26"/>
      <w:szCs w:val="26"/>
    </w:rPr>
  </w:style>
  <w:style w:type="character" w:styleId="UnresolvedMention">
    <w:name w:val="Unresolved Mention"/>
    <w:basedOn w:val="DefaultParagraphFont"/>
    <w:uiPriority w:val="99"/>
    <w:semiHidden/>
    <w:unhideWhenUsed/>
    <w:rsid w:val="00A222B8"/>
    <w:rPr>
      <w:color w:val="605E5C"/>
      <w:shd w:val="clear" w:color="auto" w:fill="E1DFDD"/>
    </w:rPr>
  </w:style>
  <w:style w:type="character" w:styleId="FollowedHyperlink">
    <w:name w:val="FollowedHyperlink"/>
    <w:basedOn w:val="DefaultParagraphFont"/>
    <w:uiPriority w:val="99"/>
    <w:semiHidden/>
    <w:unhideWhenUsed/>
    <w:rsid w:val="00A222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96136">
      <w:bodyDiv w:val="1"/>
      <w:marLeft w:val="0"/>
      <w:marRight w:val="0"/>
      <w:marTop w:val="0"/>
      <w:marBottom w:val="0"/>
      <w:divBdr>
        <w:top w:val="none" w:sz="0" w:space="0" w:color="auto"/>
        <w:left w:val="none" w:sz="0" w:space="0" w:color="auto"/>
        <w:bottom w:val="none" w:sz="0" w:space="0" w:color="auto"/>
        <w:right w:val="none" w:sz="0" w:space="0" w:color="auto"/>
      </w:divBdr>
    </w:div>
    <w:div w:id="161315352">
      <w:bodyDiv w:val="1"/>
      <w:marLeft w:val="0"/>
      <w:marRight w:val="0"/>
      <w:marTop w:val="0"/>
      <w:marBottom w:val="0"/>
      <w:divBdr>
        <w:top w:val="none" w:sz="0" w:space="0" w:color="auto"/>
        <w:left w:val="none" w:sz="0" w:space="0" w:color="auto"/>
        <w:bottom w:val="none" w:sz="0" w:space="0" w:color="auto"/>
        <w:right w:val="none" w:sz="0" w:space="0" w:color="auto"/>
      </w:divBdr>
    </w:div>
    <w:div w:id="179976098">
      <w:bodyDiv w:val="1"/>
      <w:marLeft w:val="0"/>
      <w:marRight w:val="0"/>
      <w:marTop w:val="0"/>
      <w:marBottom w:val="0"/>
      <w:divBdr>
        <w:top w:val="none" w:sz="0" w:space="0" w:color="auto"/>
        <w:left w:val="none" w:sz="0" w:space="0" w:color="auto"/>
        <w:bottom w:val="none" w:sz="0" w:space="0" w:color="auto"/>
        <w:right w:val="none" w:sz="0" w:space="0" w:color="auto"/>
      </w:divBdr>
    </w:div>
    <w:div w:id="685446065">
      <w:bodyDiv w:val="1"/>
      <w:marLeft w:val="0"/>
      <w:marRight w:val="0"/>
      <w:marTop w:val="0"/>
      <w:marBottom w:val="0"/>
      <w:divBdr>
        <w:top w:val="none" w:sz="0" w:space="0" w:color="auto"/>
        <w:left w:val="none" w:sz="0" w:space="0" w:color="auto"/>
        <w:bottom w:val="none" w:sz="0" w:space="0" w:color="auto"/>
        <w:right w:val="none" w:sz="0" w:space="0" w:color="auto"/>
      </w:divBdr>
    </w:div>
    <w:div w:id="1045833913">
      <w:bodyDiv w:val="1"/>
      <w:marLeft w:val="0"/>
      <w:marRight w:val="0"/>
      <w:marTop w:val="0"/>
      <w:marBottom w:val="0"/>
      <w:divBdr>
        <w:top w:val="none" w:sz="0" w:space="0" w:color="auto"/>
        <w:left w:val="none" w:sz="0" w:space="0" w:color="auto"/>
        <w:bottom w:val="none" w:sz="0" w:space="0" w:color="auto"/>
        <w:right w:val="none" w:sz="0" w:space="0" w:color="auto"/>
      </w:divBdr>
    </w:div>
    <w:div w:id="1092431724">
      <w:bodyDiv w:val="1"/>
      <w:marLeft w:val="0"/>
      <w:marRight w:val="0"/>
      <w:marTop w:val="0"/>
      <w:marBottom w:val="0"/>
      <w:divBdr>
        <w:top w:val="none" w:sz="0" w:space="0" w:color="auto"/>
        <w:left w:val="none" w:sz="0" w:space="0" w:color="auto"/>
        <w:bottom w:val="none" w:sz="0" w:space="0" w:color="auto"/>
        <w:right w:val="none" w:sz="0" w:space="0" w:color="auto"/>
      </w:divBdr>
    </w:div>
    <w:div w:id="1559583999">
      <w:bodyDiv w:val="1"/>
      <w:marLeft w:val="0"/>
      <w:marRight w:val="0"/>
      <w:marTop w:val="0"/>
      <w:marBottom w:val="0"/>
      <w:divBdr>
        <w:top w:val="none" w:sz="0" w:space="0" w:color="auto"/>
        <w:left w:val="none" w:sz="0" w:space="0" w:color="auto"/>
        <w:bottom w:val="none" w:sz="0" w:space="0" w:color="auto"/>
        <w:right w:val="none" w:sz="0" w:space="0" w:color="auto"/>
      </w:divBdr>
    </w:div>
    <w:div w:id="1622035382">
      <w:bodyDiv w:val="1"/>
      <w:marLeft w:val="0"/>
      <w:marRight w:val="0"/>
      <w:marTop w:val="0"/>
      <w:marBottom w:val="0"/>
      <w:divBdr>
        <w:top w:val="none" w:sz="0" w:space="0" w:color="auto"/>
        <w:left w:val="none" w:sz="0" w:space="0" w:color="auto"/>
        <w:bottom w:val="none" w:sz="0" w:space="0" w:color="auto"/>
        <w:right w:val="none" w:sz="0" w:space="0" w:color="auto"/>
      </w:divBdr>
    </w:div>
    <w:div w:id="1714965725">
      <w:bodyDiv w:val="1"/>
      <w:marLeft w:val="0"/>
      <w:marRight w:val="0"/>
      <w:marTop w:val="0"/>
      <w:marBottom w:val="0"/>
      <w:divBdr>
        <w:top w:val="none" w:sz="0" w:space="0" w:color="auto"/>
        <w:left w:val="none" w:sz="0" w:space="0" w:color="auto"/>
        <w:bottom w:val="none" w:sz="0" w:space="0" w:color="auto"/>
        <w:right w:val="none" w:sz="0" w:space="0" w:color="auto"/>
      </w:divBdr>
    </w:div>
    <w:div w:id="2040206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186/1471-2458-13-226"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2737</Words>
  <Characters>15601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Mati Bekuma Terefe</cp:lastModifiedBy>
  <cp:revision>39</cp:revision>
  <dcterms:created xsi:type="dcterms:W3CDTF">2026-05-15T21:37:00Z</dcterms:created>
  <dcterms:modified xsi:type="dcterms:W3CDTF">2026-05-15T23:25:00Z</dcterms:modified>
</cp:coreProperties>
</file>