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国标小标宋-GB/T 2312" w:hAnsi="国标小标宋-GB/T 2312" w:eastAsia="国标小标宋-GB/T 2312" w:cs="国标小标宋-GB/T 2312"/>
          <w:sz w:val="44"/>
          <w:szCs w:val="44"/>
          <w:highlight w:val="none"/>
          <w:lang w:val="en-US" w:eastAsia="zh-CN"/>
        </w:rPr>
      </w:pPr>
      <w:r>
        <w:rPr>
          <w:rFonts w:hint="eastAsia" w:ascii="国标小标宋-GB/T 2312" w:hAnsi="国标小标宋-GB/T 2312" w:eastAsia="国标小标宋-GB/T 2312" w:cs="国标小标宋-GB/T 2312"/>
          <w:sz w:val="44"/>
          <w:szCs w:val="44"/>
          <w:highlight w:val="none"/>
          <w:lang w:val="en-US" w:eastAsia="zh-CN"/>
        </w:rPr>
        <w:t>投标注意事项</w:t>
      </w:r>
    </w:p>
    <w:p>
      <w:pPr>
        <w:jc w:val="both"/>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各投标人：</w:t>
      </w:r>
    </w:p>
    <w:p>
      <w:pPr>
        <w:ind w:firstLine="640"/>
        <w:jc w:val="both"/>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为避免大家递交的标书在评审过程中，因不满足招标文件要求被否决，现将评审过程中经常出现的的否决事项列示如下（招标文件的否决项包括但不限于以下列示项），请各投标人特别注意，并从严把好标书的质量关。</w:t>
      </w:r>
    </w:p>
    <w:p>
      <w:pPr>
        <w:pStyle w:val="2"/>
        <w:ind w:left="0" w:leftChars="0" w:firstLine="640" w:firstLineChars="200"/>
        <w:rPr>
          <w:rFonts w:hint="eastAsia"/>
          <w:color w:val="FF0000"/>
          <w:lang w:val="en-US" w:eastAsia="zh-CN"/>
        </w:rPr>
      </w:pPr>
      <w:r>
        <w:rPr>
          <w:rFonts w:hint="eastAsia" w:ascii="方正仿宋_GBK" w:hAnsi="方正仿宋_GBK" w:eastAsia="方正仿宋_GBK" w:cs="方正仿宋_GBK"/>
          <w:color w:val="FF0000"/>
          <w:sz w:val="32"/>
          <w:szCs w:val="32"/>
          <w:highlight w:val="none"/>
          <w:lang w:val="en-US" w:eastAsia="zh-CN"/>
        </w:rPr>
        <w:t>本注意事项与招标文件要求不一致时，以招标文件为准！</w:t>
      </w:r>
    </w:p>
    <w:p>
      <w:pPr>
        <w:pStyle w:val="2"/>
        <w:rPr>
          <w:rFonts w:hint="eastAsia" w:ascii="国标黑体-GB/T 2312" w:hAnsi="国标黑体-GB/T 2312" w:eastAsia="国标黑体-GB/T 2312" w:cs="国标黑体-GB/T 2312"/>
          <w:sz w:val="32"/>
          <w:szCs w:val="32"/>
          <w:highlight w:val="none"/>
          <w:lang w:val="en-US" w:eastAsia="zh-CN"/>
        </w:rPr>
      </w:pPr>
      <w:r>
        <w:rPr>
          <w:rFonts w:hint="eastAsia" w:ascii="国标黑体-GB/T 2312" w:hAnsi="国标黑体-GB/T 2312" w:eastAsia="国标黑体-GB/T 2312" w:cs="国标黑体-GB/T 2312"/>
          <w:sz w:val="32"/>
          <w:szCs w:val="32"/>
          <w:highlight w:val="none"/>
          <w:lang w:val="en-US" w:eastAsia="zh-CN"/>
        </w:rPr>
        <w:t>一、价格问题</w:t>
      </w:r>
    </w:p>
    <w:p>
      <w:pPr>
        <w:ind w:firstLine="640"/>
        <w:jc w:val="both"/>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1.投标人未按招标文件要求提交分项报价表，或提交的分项报价超招标分项限价，或多轮报价中</w:t>
      </w:r>
      <w:r>
        <w:rPr>
          <w:rFonts w:hint="eastAsia" w:ascii="方正仿宋_GBK" w:hAnsi="方正仿宋_GBK" w:eastAsia="方正仿宋_GBK" w:cs="方正仿宋_GBK"/>
          <w:color w:val="auto"/>
          <w:kern w:val="2"/>
          <w:sz w:val="32"/>
          <w:szCs w:val="32"/>
          <w:highlight w:val="none"/>
          <w:lang w:val="en-US" w:eastAsia="zh-CN" w:bidi="ar-SA"/>
        </w:rPr>
        <w:t>后一轮报价高于之前任意一轮报价</w:t>
      </w:r>
      <w:r>
        <w:rPr>
          <w:rFonts w:hint="eastAsia" w:ascii="方正仿宋_GBK" w:hAnsi="方正仿宋_GBK" w:eastAsia="方正仿宋_GBK" w:cs="方正仿宋_GBK"/>
          <w:color w:val="auto"/>
          <w:sz w:val="32"/>
          <w:szCs w:val="32"/>
          <w:highlight w:val="none"/>
          <w:lang w:val="en-US" w:eastAsia="zh-CN"/>
        </w:rPr>
        <w:t>。（</w:t>
      </w:r>
      <w:r>
        <w:rPr>
          <w:rFonts w:hint="eastAsia" w:ascii="方正仿宋_GBK" w:hAnsi="方正仿宋_GBK" w:eastAsia="方正仿宋_GBK" w:cs="方正仿宋_GBK"/>
          <w:color w:val="FF0000"/>
          <w:sz w:val="32"/>
          <w:szCs w:val="32"/>
          <w:highlight w:val="none"/>
          <w:lang w:val="en-US" w:eastAsia="zh-CN"/>
        </w:rPr>
        <w:t>提示：招标文件限价表中的限价为含税单价，投标人填写行信息报价时，填写不含税单价和税率，系统将自动计算含税单价和总价，投标人注意，需使用生成的含税单价与限价进行对比，含税单价不得超过限价。</w:t>
      </w:r>
      <w:r>
        <w:rPr>
          <w:rFonts w:hint="eastAsia" w:ascii="方正仿宋_GBK" w:hAnsi="方正仿宋_GBK" w:eastAsia="方正仿宋_GBK" w:cs="方正仿宋_GBK"/>
          <w:color w:val="auto"/>
          <w:sz w:val="32"/>
          <w:szCs w:val="32"/>
          <w:highlight w:val="none"/>
          <w:lang w:val="en-US" w:eastAsia="zh-CN"/>
        </w:rPr>
        <w:t>）</w:t>
      </w:r>
      <w:bookmarkStart w:id="0" w:name="_GoBack"/>
      <w:bookmarkEnd w:id="0"/>
    </w:p>
    <w:p>
      <w:pPr>
        <w:pStyle w:val="2"/>
        <w:ind w:left="0" w:leftChars="0" w:firstLine="640" w:firstLineChars="200"/>
        <w:rPr>
          <w:rFonts w:hint="eastAsia" w:ascii="方正仿宋_GBK" w:hAnsi="方正仿宋_GBK" w:eastAsia="方正仿宋_GBK" w:cs="方正仿宋_GBK"/>
          <w:color w:val="auto"/>
          <w:kern w:val="2"/>
          <w:sz w:val="32"/>
          <w:szCs w:val="32"/>
          <w:highlight w:val="none"/>
          <w:lang w:val="en-US" w:eastAsia="zh-CN" w:bidi="ar-SA"/>
        </w:rPr>
      </w:pPr>
      <w:r>
        <w:rPr>
          <w:rFonts w:hint="eastAsia" w:ascii="方正仿宋_GBK" w:hAnsi="方正仿宋_GBK" w:eastAsia="方正仿宋_GBK" w:cs="方正仿宋_GBK"/>
          <w:color w:val="auto"/>
          <w:kern w:val="2"/>
          <w:sz w:val="32"/>
          <w:szCs w:val="32"/>
          <w:highlight w:val="none"/>
          <w:lang w:val="en-US" w:eastAsia="zh-CN" w:bidi="ar-SA"/>
        </w:rPr>
        <w:t>2.投标人未在招标人招投标交易平台信息系统（国家电网有限公司电子商务平台）填报投标报价。</w:t>
      </w:r>
    </w:p>
    <w:p>
      <w:pPr>
        <w:pStyle w:val="5"/>
        <w:ind w:left="0" w:leftChars="0" w:firstLine="640" w:firstLineChars="200"/>
        <w:jc w:val="both"/>
        <w:rPr>
          <w:rFonts w:hint="eastAsia" w:ascii="方正仿宋_GBK" w:hAnsi="方正仿宋_GBK" w:eastAsia="方正仿宋_GBK" w:cs="方正仿宋_GBK"/>
          <w:color w:val="auto"/>
          <w:kern w:val="2"/>
          <w:sz w:val="32"/>
          <w:szCs w:val="32"/>
          <w:highlight w:val="none"/>
          <w:lang w:val="en-US" w:eastAsia="zh-CN" w:bidi="ar-SA"/>
        </w:rPr>
      </w:pPr>
      <w:r>
        <w:rPr>
          <w:rFonts w:hint="eastAsia" w:ascii="方正仿宋_GBK" w:hAnsi="方正仿宋_GBK" w:eastAsia="方正仿宋_GBK" w:cs="方正仿宋_GBK"/>
          <w:color w:val="auto"/>
          <w:kern w:val="2"/>
          <w:sz w:val="32"/>
          <w:szCs w:val="32"/>
          <w:highlight w:val="none"/>
          <w:lang w:val="en-US" w:eastAsia="zh-CN" w:bidi="ar-SA"/>
        </w:rPr>
        <w:t>3.投标人行报价中未填写增值税税率、或填写的增值税税率不合法（如物资采购项目填写为0.13等），或未按照招标文件规定的增值税税率填写，小规模纳税人未在投标文件中提供为小规模纳税人的佐证材料。</w:t>
      </w:r>
    </w:p>
    <w:p>
      <w:pPr>
        <w:ind w:firstLine="640" w:firstLineChars="200"/>
        <w:rPr>
          <w:rFonts w:hint="eastAsia" w:ascii="方正仿宋_GBK" w:hAnsi="方正仿宋_GBK" w:eastAsia="方正仿宋_GBK" w:cs="方正仿宋_GBK"/>
          <w:color w:val="auto"/>
          <w:kern w:val="2"/>
          <w:sz w:val="30"/>
          <w:szCs w:val="30"/>
          <w:highlight w:val="none"/>
          <w:lang w:val="en-US" w:eastAsia="zh-CN" w:bidi="ar-SA"/>
        </w:rPr>
      </w:pPr>
      <w:r>
        <w:rPr>
          <w:rFonts w:hint="eastAsia" w:ascii="方正仿宋_GBK" w:hAnsi="方正仿宋_GBK" w:eastAsia="方正仿宋_GBK" w:cs="方正仿宋_GBK"/>
          <w:color w:val="auto"/>
          <w:kern w:val="2"/>
          <w:sz w:val="32"/>
          <w:szCs w:val="32"/>
          <w:highlight w:val="none"/>
          <w:lang w:val="en-US" w:eastAsia="zh-CN" w:bidi="ar-SA"/>
        </w:rPr>
        <w:t>4.投标人货币单位错误（将万元单位填写为元），报价异常。</w:t>
      </w:r>
    </w:p>
    <w:p>
      <w:pPr>
        <w:pStyle w:val="2"/>
        <w:ind w:left="0" w:leftChars="0" w:firstLine="640" w:firstLineChars="200"/>
        <w:rPr>
          <w:rFonts w:hint="eastAsia" w:ascii="方正仿宋_GBK" w:hAnsi="方正仿宋_GBK" w:eastAsia="方正仿宋_GBK" w:cs="方正仿宋_GBK"/>
          <w:color w:val="auto"/>
          <w:kern w:val="2"/>
          <w:sz w:val="32"/>
          <w:szCs w:val="32"/>
          <w:highlight w:val="none"/>
          <w:lang w:val="en-US" w:eastAsia="zh-CN" w:bidi="ar-SA"/>
        </w:rPr>
      </w:pPr>
      <w:r>
        <w:rPr>
          <w:rFonts w:hint="eastAsia" w:ascii="方正仿宋_GBK" w:hAnsi="方正仿宋_GBK" w:eastAsia="方正仿宋_GBK" w:cs="方正仿宋_GBK"/>
          <w:color w:val="auto"/>
          <w:kern w:val="2"/>
          <w:sz w:val="32"/>
          <w:szCs w:val="32"/>
          <w:highlight w:val="none"/>
          <w:lang w:val="en-US" w:eastAsia="zh-CN" w:bidi="ar-SA"/>
        </w:rPr>
        <w:t>5.协议库存及框架类项目，投标人在同一标段不同标包中相同物料的报价不满足招标文件规定的偏差比例，存在不平衡报价问题。</w:t>
      </w:r>
    </w:p>
    <w:p>
      <w:pPr>
        <w:pStyle w:val="5"/>
        <w:ind w:left="0" w:leftChars="0" w:firstLine="640" w:firstLineChars="200"/>
        <w:jc w:val="both"/>
        <w:rPr>
          <w:rFonts w:hint="eastAsia" w:ascii="方正仿宋_GBK" w:hAnsi="方正仿宋_GBK" w:eastAsia="方正仿宋_GBK" w:cs="方正仿宋_GBK"/>
          <w:color w:val="auto"/>
          <w:kern w:val="2"/>
          <w:sz w:val="32"/>
          <w:szCs w:val="32"/>
          <w:highlight w:val="none"/>
          <w:lang w:val="en-US" w:eastAsia="zh-CN" w:bidi="ar-SA"/>
        </w:rPr>
      </w:pPr>
      <w:r>
        <w:rPr>
          <w:rFonts w:hint="eastAsia" w:ascii="方正仿宋_GBK" w:hAnsi="方正仿宋_GBK" w:eastAsia="方正仿宋_GBK" w:cs="方正仿宋_GBK"/>
          <w:color w:val="auto"/>
          <w:kern w:val="2"/>
          <w:sz w:val="32"/>
          <w:szCs w:val="32"/>
          <w:highlight w:val="none"/>
          <w:lang w:val="en-US" w:eastAsia="zh-CN" w:bidi="ar-SA"/>
        </w:rPr>
        <w:t>6.投标人提交的报价远低于成本价，且对评标期间招标人发出的价格澄清未在规定时间内回复。</w:t>
      </w:r>
    </w:p>
    <w:p>
      <w:pPr>
        <w:rPr>
          <w:rFonts w:hint="eastAsia"/>
          <w:lang w:val="en-US" w:eastAsia="zh-CN"/>
        </w:rPr>
      </w:pPr>
    </w:p>
    <w:p>
      <w:pPr>
        <w:pStyle w:val="2"/>
        <w:rPr>
          <w:rFonts w:hint="eastAsia" w:ascii="国标黑体-GB/T 2312" w:hAnsi="国标黑体-GB/T 2312" w:eastAsia="国标黑体-GB/T 2312" w:cs="国标黑体-GB/T 2312"/>
          <w:sz w:val="32"/>
          <w:szCs w:val="32"/>
          <w:highlight w:val="none"/>
          <w:lang w:val="en-US" w:eastAsia="zh-CN"/>
        </w:rPr>
      </w:pPr>
      <w:r>
        <w:rPr>
          <w:rFonts w:hint="eastAsia" w:ascii="国标黑体-GB/T 2312" w:hAnsi="国标黑体-GB/T 2312" w:eastAsia="国标黑体-GB/T 2312" w:cs="国标黑体-GB/T 2312"/>
          <w:sz w:val="32"/>
          <w:szCs w:val="32"/>
          <w:highlight w:val="none"/>
          <w:lang w:val="en-US" w:eastAsia="zh-CN"/>
        </w:rPr>
        <w:t>二、文件签署问题</w:t>
      </w:r>
    </w:p>
    <w:p>
      <w:pPr>
        <w:ind w:firstLine="640" w:firstLineChars="200"/>
        <w:rPr>
          <w:rFonts w:hint="eastAsia" w:ascii="方正仿宋_GBK" w:hAnsi="方正仿宋_GBK" w:eastAsia="方正仿宋_GBK" w:cs="方正仿宋_GBK"/>
          <w:color w:val="auto"/>
          <w:kern w:val="2"/>
          <w:sz w:val="32"/>
          <w:szCs w:val="32"/>
          <w:highlight w:val="none"/>
          <w:lang w:val="en-US" w:eastAsia="zh-CN" w:bidi="ar-SA"/>
        </w:rPr>
      </w:pPr>
      <w:r>
        <w:rPr>
          <w:rFonts w:hint="eastAsia" w:ascii="方正仿宋_GBK" w:hAnsi="方正仿宋_GBK" w:eastAsia="方正仿宋_GBK" w:cs="方正仿宋_GBK"/>
          <w:color w:val="auto"/>
          <w:kern w:val="2"/>
          <w:sz w:val="32"/>
          <w:szCs w:val="32"/>
          <w:highlight w:val="none"/>
          <w:lang w:val="en-US" w:eastAsia="zh-CN" w:bidi="ar-SA"/>
        </w:rPr>
        <w:t>1.投标人未如实按照《投标人与国家电网公司系统人员关系说明》提交说明。</w:t>
      </w:r>
    </w:p>
    <w:p>
      <w:pPr>
        <w:pStyle w:val="5"/>
        <w:ind w:left="0" w:leftChars="0" w:firstLine="640" w:firstLineChars="200"/>
        <w:jc w:val="both"/>
        <w:rPr>
          <w:rFonts w:hint="eastAsia" w:ascii="方正仿宋_GBK" w:hAnsi="方正仿宋_GBK" w:eastAsia="方正仿宋_GBK" w:cs="方正仿宋_GBK"/>
          <w:color w:val="auto"/>
          <w:kern w:val="2"/>
          <w:sz w:val="32"/>
          <w:szCs w:val="32"/>
          <w:highlight w:val="none"/>
          <w:lang w:val="en-US" w:eastAsia="zh-CN" w:bidi="ar-SA"/>
        </w:rPr>
      </w:pPr>
      <w:r>
        <w:rPr>
          <w:rFonts w:hint="eastAsia" w:ascii="方正仿宋_GBK" w:hAnsi="方正仿宋_GBK" w:eastAsia="方正仿宋_GBK" w:cs="方正仿宋_GBK"/>
          <w:color w:val="auto"/>
          <w:kern w:val="2"/>
          <w:sz w:val="32"/>
          <w:szCs w:val="32"/>
          <w:highlight w:val="none"/>
          <w:lang w:val="en-US" w:eastAsia="zh-CN" w:bidi="ar-SA"/>
        </w:rPr>
        <w:t>2.投标人未按照招标文件要求投标保证信用承诺书或提供的投标保证信用承诺书内容不全、未盖章。</w:t>
      </w:r>
    </w:p>
    <w:p>
      <w:pPr>
        <w:ind w:firstLine="640"/>
        <w:jc w:val="both"/>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3.投标人未提供营业执照扫描件。</w:t>
      </w:r>
    </w:p>
    <w:p>
      <w:pPr>
        <w:pStyle w:val="2"/>
        <w:ind w:left="0" w:leftChars="0" w:firstLine="640" w:firstLineChars="200"/>
        <w:rPr>
          <w:rFonts w:hint="default"/>
          <w:lang w:val="en-US" w:eastAsia="zh-CN"/>
        </w:rPr>
      </w:pPr>
      <w:r>
        <w:rPr>
          <w:rFonts w:hint="eastAsia" w:ascii="方正仿宋_GBK" w:hAnsi="方正仿宋_GBK" w:eastAsia="方正仿宋_GBK" w:cs="方正仿宋_GBK"/>
          <w:color w:val="auto"/>
          <w:sz w:val="32"/>
          <w:szCs w:val="32"/>
          <w:highlight w:val="none"/>
          <w:lang w:val="en-US" w:eastAsia="zh-CN"/>
        </w:rPr>
        <w:t>4.法人本人投标未提供身份证明。</w:t>
      </w:r>
    </w:p>
    <w:p>
      <w:pPr>
        <w:pStyle w:val="2"/>
        <w:rPr>
          <w:rFonts w:hint="eastAsia" w:ascii="国标黑体-GB/T 2312" w:hAnsi="国标黑体-GB/T 2312" w:eastAsia="国标黑体-GB/T 2312" w:cs="国标黑体-GB/T 2312"/>
          <w:sz w:val="32"/>
          <w:szCs w:val="32"/>
          <w:highlight w:val="none"/>
          <w:lang w:val="en-US" w:eastAsia="zh-CN"/>
        </w:rPr>
      </w:pPr>
      <w:r>
        <w:rPr>
          <w:rFonts w:hint="eastAsia" w:ascii="国标黑体-GB/T 2312" w:hAnsi="国标黑体-GB/T 2312" w:eastAsia="国标黑体-GB/T 2312" w:cs="国标黑体-GB/T 2312"/>
          <w:sz w:val="32"/>
          <w:szCs w:val="32"/>
          <w:highlight w:val="none"/>
          <w:lang w:val="en-US" w:eastAsia="zh-CN"/>
        </w:rPr>
        <w:t>三、专业资质要求问题</w:t>
      </w:r>
    </w:p>
    <w:p>
      <w:pPr>
        <w:ind w:firstLine="640" w:firstLineChars="200"/>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sz w:val="32"/>
          <w:szCs w:val="32"/>
          <w:highlight w:val="none"/>
          <w:lang w:val="en-US" w:eastAsia="zh-CN"/>
        </w:rPr>
        <w:t>1.投标人未按招标文件专用资质业绩要求提供相关佐证材料或提供的佐证材料不全。涉及供货业绩、生产试验设备、认证证书、认证证书、产品型式试验报告或检测报告或鉴定报告、其他资质要求。</w:t>
      </w:r>
    </w:p>
    <w:p>
      <w:pPr>
        <w:pStyle w:val="2"/>
        <w:ind w:left="0" w:leftChars="0" w:firstLine="640" w:firstLineChars="200"/>
        <w:rPr>
          <w:rFonts w:hint="eastAsia" w:ascii="方正仿宋_GBK" w:hAnsi="方正仿宋_GBK" w:eastAsia="方正仿宋_GBK" w:cs="方正仿宋_GBK"/>
          <w:color w:val="auto"/>
          <w:kern w:val="2"/>
          <w:sz w:val="32"/>
          <w:szCs w:val="32"/>
          <w:highlight w:val="none"/>
          <w:lang w:val="en-US" w:eastAsia="zh-CN" w:bidi="ar-SA"/>
        </w:rPr>
      </w:pPr>
      <w:r>
        <w:rPr>
          <w:rFonts w:hint="eastAsia" w:ascii="方正仿宋_GBK" w:hAnsi="方正仿宋_GBK" w:eastAsia="方正仿宋_GBK" w:cs="方正仿宋_GBK"/>
          <w:kern w:val="2"/>
          <w:sz w:val="32"/>
          <w:szCs w:val="32"/>
          <w:highlight w:val="none"/>
          <w:lang w:val="en-US" w:eastAsia="zh-CN" w:bidi="ar-SA"/>
        </w:rPr>
        <w:t>（1）供货业绩：需提供近三年至发布公告前一日签订的同类产品销售合同及销售发票复印件，金额或数量须满足专用资质业绩要求，业绩时间以合同签订时间为准，金额或数量以发票为准。如国</w:t>
      </w:r>
      <w:r>
        <w:rPr>
          <w:rFonts w:hint="eastAsia" w:ascii="方正仿宋_GBK" w:hAnsi="方正仿宋_GBK" w:eastAsia="方正仿宋_GBK" w:cs="方正仿宋_GBK"/>
          <w:color w:val="auto"/>
          <w:kern w:val="2"/>
          <w:sz w:val="32"/>
          <w:szCs w:val="32"/>
          <w:highlight w:val="none"/>
          <w:lang w:val="en-US" w:eastAsia="zh-CN" w:bidi="ar-SA"/>
        </w:rPr>
        <w:t>家有行政许可的，销售业绩应在取得许可时间后方为有效。提供的业绩证明材料（合同或供货清单或发票等）需能证明是所投产品或是同类产品；如果业绩证明材料无法证明相关业绩时，应提供合同对应的技术规范书佐证。</w:t>
      </w:r>
    </w:p>
    <w:p>
      <w:pPr>
        <w:ind w:firstLine="640" w:firstLineChars="200"/>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2）生产试验设备：具有完整的制造、工艺装备和试验设备；具有同等电压等级（或同等要求、同等规模）及以上投标产品的研发、设计、制造和出厂试验的能力。代理商、集货商投标的，需提供原制造商的相关资料。</w:t>
      </w:r>
    </w:p>
    <w:p>
      <w:pPr>
        <w:ind w:firstLine="640" w:firstLineChars="200"/>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（3）认证证书：提供的认证证书需在有效期内；代理商投标的，仅需提供原制造商的认证证书（进口产品仅需提供投标人的认证证书）；集货商投标的，提供集货商的认证证书。</w:t>
      </w:r>
    </w:p>
    <w:p>
      <w:pPr>
        <w:ind w:firstLine="640" w:firstLineChars="200"/>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（4）许可证：包括生产许可证（提供所投产品的有效生产许可证）、入网许可证（提供所投产品的有效入网许可证）、CCC认证（提供所投产品的有效CCC认证）等。</w:t>
      </w:r>
    </w:p>
    <w:p>
      <w:pPr>
        <w:ind w:firstLine="640" w:firstLineChars="200"/>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（5）产品型式试验报告或检测报告或鉴定报告：提供所投主要产品的国家认可第三方权威检测机构出具的相关报告；报告检测项目必须覆盖所投主要产品；报告包含有效期的必须在有效期内。</w:t>
      </w:r>
    </w:p>
    <w:p>
      <w:pPr>
        <w:pStyle w:val="2"/>
        <w:ind w:left="0" w:leftChars="0" w:firstLine="640" w:firstLineChars="200"/>
        <w:rPr>
          <w:rFonts w:hint="eastAsia" w:ascii="方正仿宋_GBK" w:hAnsi="方正仿宋_GBK" w:eastAsia="方正仿宋_GBK" w:cs="方正仿宋_GBK"/>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2.投标人类型不满足招标文件要求，或未按招标文件提供相应佐证材料。如：集货商未提供所投标段所有</w:t>
      </w:r>
      <w:r>
        <w:rPr>
          <w:rFonts w:hint="eastAsia" w:ascii="方正仿宋_GBK" w:hAnsi="方正仿宋_GBK" w:eastAsia="方正仿宋_GBK" w:cs="方正仿宋_GBK"/>
          <w:sz w:val="32"/>
          <w:szCs w:val="32"/>
          <w:highlight w:val="none"/>
          <w:lang w:val="en-US" w:eastAsia="zh-CN"/>
        </w:rPr>
        <w:t>物资品类的原厂售后服务承诺书、代理商未提供所投标段所有物资品类的制造商授权委托书、多家代理商为同一家制造商代理、</w:t>
      </w:r>
      <w:r>
        <w:rPr>
          <w:rFonts w:hint="eastAsia" w:ascii="方正仿宋_GBK" w:hAnsi="方正仿宋_GBK" w:eastAsia="方正仿宋_GBK" w:cs="方正仿宋_GBK"/>
          <w:kern w:val="2"/>
          <w:sz w:val="32"/>
          <w:szCs w:val="32"/>
          <w:highlight w:val="none"/>
          <w:lang w:val="en-US" w:eastAsia="zh-CN" w:bidi="ar-SA"/>
        </w:rPr>
        <w:t>制造商和代理商就同一品牌同一型号的货物同时参与同一标包的投标。</w:t>
      </w:r>
    </w:p>
    <w:p>
      <w:pPr>
        <w:ind w:firstLine="640" w:firstLineChars="200"/>
        <w:jc w:val="left"/>
        <w:rPr>
          <w:rFonts w:hint="eastAsia" w:ascii="方正仿宋_GBK" w:hAnsi="方正仿宋_GBK" w:eastAsia="方正仿宋_GBK" w:cs="方正仿宋_GBK"/>
          <w:kern w:val="2"/>
          <w:sz w:val="32"/>
          <w:szCs w:val="32"/>
          <w:highlight w:val="none"/>
          <w:lang w:val="en-US" w:eastAsia="zh-CN" w:bidi="ar-SA"/>
        </w:rPr>
      </w:pPr>
      <w:r>
        <w:rPr>
          <w:rFonts w:hint="eastAsia" w:ascii="方正仿宋_GBK" w:hAnsi="方正仿宋_GBK" w:eastAsia="方正仿宋_GBK" w:cs="方正仿宋_GBK"/>
          <w:kern w:val="2"/>
          <w:sz w:val="32"/>
          <w:szCs w:val="32"/>
          <w:highlight w:val="none"/>
          <w:lang w:val="en-US" w:eastAsia="zh-CN" w:bidi="ar-SA"/>
        </w:rPr>
        <w:t>（1）投标人类型：</w:t>
      </w:r>
    </w:p>
    <w:p>
      <w:pPr>
        <w:ind w:firstLine="640"/>
        <w:jc w:val="both"/>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制造商是指以原材料或零组件（自制或外购），经生产、加工等工序，制成一系列产品的生产企业。其具有核心生产能力，拥有生产场地、生产设备、生产人员，具有完整的生产工艺流程，能够保证产品质量，并提供售后服务。</w:t>
      </w:r>
    </w:p>
    <w:p>
      <w:pPr>
        <w:ind w:firstLine="640"/>
        <w:jc w:val="both"/>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代理商是指依法注册、由制造商进行委托代理授权、作为独立主体参与招投标活动并签订采购合同的法人或组织，且在人员配备、资金实力、质量信誉、售后服务等方面具有保证招标项目如期完成所需的实施能力。代理商代表委托方进行商务活动，其目的是为促成或缔结交易，双方系委托代理合同关系。同一制造商对同一品牌同一型号的货物仅能委托一个代理商参加投标，且制造商不能与其授权代理商参与同一标包投标。</w:t>
      </w:r>
    </w:p>
    <w:p>
      <w:pPr>
        <w:ind w:firstLine="640"/>
        <w:jc w:val="both"/>
        <w:rPr>
          <w:rFonts w:hint="eastAsia"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集货商是指将零散小批量产品从多家制造商预订或采购产品，提供销售服务的企业。集货商通常不具备其全部集货产品的生产能力，主要保障货物及时交付，提供客户支持，处理投诉和退换货等。集货商可以通过集合需求，进行多品种小批量采购，满足采购人零散需求。</w:t>
      </w:r>
    </w:p>
    <w:p>
      <w:pPr>
        <w:pStyle w:val="2"/>
        <w:rPr>
          <w:rFonts w:hint="eastAsia" w:ascii="国标黑体-GB/T 2312" w:hAnsi="国标黑体-GB/T 2312" w:eastAsia="国标黑体-GB/T 2312" w:cs="国标黑体-GB/T 2312"/>
          <w:sz w:val="32"/>
          <w:szCs w:val="32"/>
          <w:highlight w:val="none"/>
          <w:lang w:val="en-US" w:eastAsia="zh-CN"/>
        </w:rPr>
      </w:pPr>
      <w:r>
        <w:rPr>
          <w:rFonts w:hint="eastAsia" w:ascii="国标黑体-GB/T 2312" w:hAnsi="国标黑体-GB/T 2312" w:eastAsia="国标黑体-GB/T 2312" w:cs="国标黑体-GB/T 2312"/>
          <w:sz w:val="32"/>
          <w:szCs w:val="32"/>
          <w:highlight w:val="none"/>
          <w:lang w:val="en-US" w:eastAsia="zh-CN"/>
        </w:rPr>
        <w:t>四、企业信息问题</w:t>
      </w:r>
    </w:p>
    <w:p>
      <w:pPr>
        <w:ind w:firstLine="640"/>
        <w:jc w:val="both"/>
        <w:rPr>
          <w:rFonts w:hint="default"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t>1.注意核对并及时更新信用中国、国家企业信用信息公示系统、国家电网新一代电子商务平台等相关系统平台的注册信息、企业基本信息，特别是获取招标文件阶段填报的信息（如联系人姓名、电话、邮箱、公司地址等），确保其真实性和有效性。</w:t>
      </w:r>
    </w:p>
    <w:p>
      <w:pPr>
        <w:ind w:firstLine="4166" w:firstLineChars="1302"/>
        <w:jc w:val="both"/>
        <w:rPr>
          <w:rFonts w:hint="default" w:ascii="方正仿宋_GBK" w:hAnsi="方正仿宋_GBK" w:eastAsia="方正仿宋_GBK" w:cs="方正仿宋_GBK"/>
          <w:color w:val="auto"/>
          <w:sz w:val="32"/>
          <w:szCs w:val="32"/>
          <w:highlight w:val="none"/>
          <w:lang w:val="en-US" w:eastAsia="zh-CN"/>
        </w:rPr>
      </w:pPr>
      <w:r>
        <w:rPr>
          <w:rFonts w:hint="eastAsia" w:ascii="方正仿宋_GBK" w:hAnsi="方正仿宋_GBK" w:eastAsia="方正仿宋_GBK" w:cs="方正仿宋_GBK"/>
          <w:color w:val="auto"/>
          <w:sz w:val="32"/>
          <w:szCs w:val="32"/>
          <w:highlight w:val="none"/>
          <w:lang w:val="en-US" w:eastAsia="zh-CN"/>
        </w:rPr>
        <w:br w:type="page"/>
      </w:r>
    </w:p>
    <w:p>
      <w:pPr>
        <w:ind w:firstLine="640"/>
        <w:jc w:val="both"/>
        <w:rPr>
          <w:rFonts w:hint="default" w:ascii="方正仿宋_GBK" w:hAnsi="方正仿宋_GBK" w:eastAsia="方正仿宋_GBK" w:cs="方正仿宋_GBK"/>
          <w:color w:val="auto"/>
          <w:sz w:val="32"/>
          <w:szCs w:val="32"/>
          <w:highlight w:val="none"/>
          <w:lang w:val="en-US" w:eastAsia="zh-CN"/>
        </w:rPr>
      </w:pPr>
    </w:p>
    <w:p>
      <w:pPr>
        <w:pStyle w:val="2"/>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auto"/>
    <w:pitch w:val="default"/>
    <w:sig w:usb0="00000000" w:usb1="00000000" w:usb2="00000009" w:usb3="00000000" w:csb0="400001FF" w:csb1="FFFF0000"/>
  </w:font>
  <w:font w:name="宋体">
    <w:altName w:val="Droid Sans Fallbac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国标小标宋-GB/T 2312">
    <w:panose1 w:val="02000500000000000000"/>
    <w:charset w:val="86"/>
    <w:family w:val="auto"/>
    <w:pitch w:val="default"/>
    <w:sig w:usb0="00000001" w:usb1="0800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国标黑体-GB/T 2312">
    <w:panose1 w:val="02000500000000000000"/>
    <w:charset w:val="86"/>
    <w:family w:val="auto"/>
    <w:pitch w:val="default"/>
    <w:sig w:usb0="00000001" w:usb1="08000000" w:usb2="00000000" w:usb3="00000000" w:csb0="00040000" w:csb1="00000000"/>
  </w:font>
  <w:font w:name="MathJax_Vector">
    <w:panose1 w:val="02000603000000000000"/>
    <w:charset w:val="00"/>
    <w:family w:val="auto"/>
    <w:pitch w:val="default"/>
    <w:sig w:usb0="00000001" w:usb1="00000020" w:usb2="00000000" w:usb3="00000000" w:csb0="00000001" w:csb1="00000000"/>
  </w:font>
  <w:font w:name="方正黑体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FEA13F"/>
    <w:rsid w:val="1F5CA465"/>
    <w:rsid w:val="67DD1742"/>
    <w:rsid w:val="72C33F78"/>
    <w:rsid w:val="77BE8DBF"/>
    <w:rsid w:val="B7763E30"/>
    <w:rsid w:val="C6FA0F80"/>
    <w:rsid w:val="EC3BF95E"/>
    <w:rsid w:val="F7B5CD09"/>
    <w:rsid w:val="FDFF0DC3"/>
    <w:rsid w:val="FFEBA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5"/>
    <w:unhideWhenUsed/>
    <w:qFormat/>
    <w:uiPriority w:val="0"/>
    <w:pPr>
      <w:spacing w:beforeLines="0" w:afterLines="0"/>
      <w:ind w:firstLine="420"/>
    </w:pPr>
    <w:rPr>
      <w:rFonts w:hint="eastAsia"/>
      <w:sz w:val="21"/>
      <w:szCs w:val="24"/>
    </w:rPr>
  </w:style>
  <w:style w:type="paragraph" w:styleId="3">
    <w:name w:val="Body Text Indent"/>
    <w:basedOn w:val="1"/>
    <w:next w:val="4"/>
    <w:unhideWhenUsed/>
    <w:qFormat/>
    <w:uiPriority w:val="0"/>
    <w:pPr>
      <w:autoSpaceDE w:val="0"/>
      <w:autoSpaceDN w:val="0"/>
      <w:spacing w:beforeLines="0" w:after="120" w:afterLines="0"/>
      <w:ind w:left="420"/>
    </w:pPr>
    <w:rPr>
      <w:rFonts w:hint="eastAsia" w:ascii="Times New Roman" w:hAnsi="Times New Roman" w:eastAsia="宋体"/>
      <w:sz w:val="21"/>
      <w:szCs w:val="24"/>
      <w:lang w:val="zh-CN"/>
    </w:rPr>
  </w:style>
  <w:style w:type="paragraph" w:styleId="4">
    <w:name w:val="envelope return"/>
    <w:basedOn w:val="1"/>
    <w:qFormat/>
    <w:uiPriority w:val="0"/>
    <w:pPr>
      <w:snapToGrid w:val="0"/>
    </w:pPr>
    <w:rPr>
      <w:rFonts w:hint="eastAsia" w:ascii="Arial" w:hAnsi="Arial" w:eastAsia="宋体" w:cs="Times New Roman"/>
      <w:szCs w:val="20"/>
    </w:rPr>
  </w:style>
  <w:style w:type="paragraph" w:customStyle="1" w:styleId="5">
    <w:name w:val="表格文字"/>
    <w:basedOn w:val="6"/>
    <w:next w:val="1"/>
    <w:unhideWhenUsed/>
    <w:qFormat/>
    <w:uiPriority w:val="0"/>
    <w:pPr>
      <w:spacing w:beforeLines="0" w:afterLines="0"/>
      <w:ind w:firstLine="0" w:firstLineChars="0"/>
      <w:jc w:val="center"/>
    </w:pPr>
    <w:rPr>
      <w:rFonts w:hint="eastAsia"/>
      <w:sz w:val="21"/>
      <w:szCs w:val="20"/>
    </w:rPr>
  </w:style>
  <w:style w:type="paragraph" w:styleId="6">
    <w:name w:val="List"/>
    <w:basedOn w:val="1"/>
    <w:unhideWhenUsed/>
    <w:qFormat/>
    <w:uiPriority w:val="0"/>
    <w:pPr>
      <w:spacing w:beforeLines="0" w:afterLines="0"/>
      <w:ind w:left="200" w:hanging="200" w:hangingChars="200"/>
    </w:pPr>
    <w:rPr>
      <w:rFonts w:hint="eastAsia" w:ascii="宋体" w:hAnsi="宋体" w:eastAsia="宋体" w:cs="宋体"/>
      <w:sz w:val="21"/>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2025-10-12T17:50:00Z</dcterms:created>
  <dc:creator>HY</dc:creator>
  <cp:lastModifiedBy>liyy</cp:lastModifiedBy>
  <dcterms:modified xsi:type="dcterms:W3CDTF">2026-02-06T17:24:55Z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2052-11.1.0.11719</vt:lpwstr>
  </property>
  <property fmtid="{D5CDD505-2E9C-101B-9397-08002B2CF9AE}" pid="3" name="ICV">
    <vt:lpwstr>7F9EAF2B3C70466B9564F4D178C3D8F3</vt:lpwstr>
  </property>
</Properties>
</file>