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480" w:lineRule="exact"/>
        <w:jc w:val="center"/>
        <w:rPr>
          <w:rFonts w:hint="eastAsia" w:ascii="方正仿宋_GBK" w:hAnsi="方正仿宋_GBK" w:eastAsia="方正仿宋_GBK" w:cs="方正仿宋_GBK"/>
          <w:color w:val="auto"/>
          <w:sz w:val="36"/>
          <w:szCs w:val="36"/>
          <w:lang w:eastAsia="zh-CN"/>
        </w:rPr>
      </w:pPr>
      <w:r>
        <w:rPr>
          <w:rFonts w:hint="eastAsia" w:ascii="方正仿宋_GBK" w:hAnsi="方正仿宋_GBK" w:eastAsia="方正仿宋_GBK" w:cs="方正仿宋_GBK"/>
          <w:color w:val="auto"/>
          <w:sz w:val="36"/>
          <w:szCs w:val="36"/>
          <w:lang w:eastAsia="zh-CN"/>
        </w:rPr>
        <w:t>第三部分 专用合同条款（山西公司修订后）</w:t>
      </w:r>
    </w:p>
    <w:p>
      <w:pPr>
        <w:rPr>
          <w:color w:val="auto"/>
          <w:lang w:eastAsia="zh-CN"/>
        </w:rPr>
      </w:pPr>
    </w:p>
    <w:p>
      <w:pPr>
        <w:snapToGrid w:val="0"/>
        <w:spacing w:line="480" w:lineRule="exact"/>
        <w:ind w:firstLine="560" w:firstLineChars="200"/>
        <w:rPr>
          <w:rFonts w:ascii="仿宋" w:hAnsi="仿宋" w:eastAsia="仿宋"/>
          <w:color w:val="auto"/>
          <w:sz w:val="28"/>
          <w:szCs w:val="28"/>
          <w:lang w:eastAsia="zh-CN"/>
        </w:rPr>
      </w:pPr>
      <w:r>
        <w:rPr>
          <w:rFonts w:hint="eastAsia" w:ascii="仿宋" w:hAnsi="仿宋" w:eastAsia="仿宋"/>
          <w:color w:val="auto"/>
          <w:sz w:val="28"/>
          <w:szCs w:val="28"/>
          <w:lang w:eastAsia="zh-CN"/>
        </w:rPr>
        <w:t>专用合同条款是合同各方经协商后对通用合同条款的具体阐明、修改或补充。专用合同条款与通用合同条款不一致时，以专用合同条款为准。本次修订如下条款：</w:t>
      </w:r>
    </w:p>
    <w:tbl>
      <w:tblPr>
        <w:tblStyle w:val="34"/>
        <w:tblW w:w="9076" w:type="dxa"/>
        <w:jc w:val="center"/>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81"/>
        <w:gridCol w:w="1605"/>
        <w:gridCol w:w="4650"/>
        <w:gridCol w:w="1640"/>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1181" w:type="dxa"/>
            <w:vAlign w:val="center"/>
          </w:tcPr>
          <w:p>
            <w:pPr>
              <w:adjustRightInd w:val="0"/>
              <w:snapToGrid w:val="0"/>
              <w:spacing w:line="16" w:lineRule="atLeast"/>
              <w:jc w:val="center"/>
              <w:rPr>
                <w:rFonts w:hint="eastAsia" w:ascii="仿宋" w:hAnsi="仿宋" w:eastAsia="仿宋" w:cs="仿宋"/>
                <w:b/>
                <w:color w:val="auto"/>
                <w:sz w:val="28"/>
                <w:szCs w:val="28"/>
              </w:rPr>
            </w:pPr>
            <w:r>
              <w:rPr>
                <w:rFonts w:hint="eastAsia" w:ascii="仿宋" w:hAnsi="仿宋" w:eastAsia="仿宋" w:cs="仿宋"/>
                <w:b/>
                <w:color w:val="auto"/>
                <w:sz w:val="28"/>
                <w:szCs w:val="28"/>
              </w:rPr>
              <w:t>合同事项</w:t>
            </w:r>
          </w:p>
        </w:tc>
        <w:tc>
          <w:tcPr>
            <w:tcW w:w="1605" w:type="dxa"/>
            <w:vAlign w:val="center"/>
          </w:tcPr>
          <w:p>
            <w:pPr>
              <w:adjustRightInd w:val="0"/>
              <w:snapToGrid w:val="0"/>
              <w:spacing w:line="16" w:lineRule="atLeast"/>
              <w:jc w:val="center"/>
              <w:rPr>
                <w:rFonts w:hint="eastAsia" w:ascii="仿宋" w:hAnsi="仿宋" w:eastAsia="仿宋" w:cs="仿宋"/>
                <w:b/>
                <w:color w:val="auto"/>
                <w:sz w:val="28"/>
                <w:szCs w:val="28"/>
              </w:rPr>
            </w:pPr>
            <w:r>
              <w:rPr>
                <w:rFonts w:hint="eastAsia" w:ascii="仿宋" w:hAnsi="仿宋" w:eastAsia="仿宋" w:cs="仿宋"/>
                <w:b/>
                <w:color w:val="auto"/>
                <w:sz w:val="28"/>
                <w:szCs w:val="28"/>
              </w:rPr>
              <w:t>条款项号</w:t>
            </w:r>
          </w:p>
        </w:tc>
        <w:tc>
          <w:tcPr>
            <w:tcW w:w="4650" w:type="dxa"/>
            <w:vAlign w:val="center"/>
          </w:tcPr>
          <w:p>
            <w:pPr>
              <w:adjustRightInd w:val="0"/>
              <w:snapToGrid w:val="0"/>
              <w:spacing w:line="16" w:lineRule="atLeast"/>
              <w:jc w:val="center"/>
              <w:rPr>
                <w:rFonts w:hint="eastAsia" w:ascii="仿宋" w:hAnsi="仿宋" w:eastAsia="仿宋" w:cs="仿宋"/>
                <w:b/>
                <w:color w:val="auto"/>
                <w:sz w:val="28"/>
                <w:szCs w:val="28"/>
              </w:rPr>
            </w:pPr>
            <w:r>
              <w:rPr>
                <w:rFonts w:hint="eastAsia" w:ascii="仿宋" w:hAnsi="仿宋" w:eastAsia="仿宋" w:cs="仿宋"/>
                <w:b/>
                <w:color w:val="auto"/>
                <w:sz w:val="28"/>
                <w:szCs w:val="28"/>
              </w:rPr>
              <w:t>国网山西公司修订为</w:t>
            </w:r>
          </w:p>
        </w:tc>
        <w:tc>
          <w:tcPr>
            <w:tcW w:w="1640" w:type="dxa"/>
            <w:vAlign w:val="center"/>
          </w:tcPr>
          <w:p>
            <w:pPr>
              <w:adjustRightInd w:val="0"/>
              <w:snapToGrid w:val="0"/>
              <w:spacing w:line="16" w:lineRule="atLeast"/>
              <w:jc w:val="center"/>
              <w:rPr>
                <w:rFonts w:hint="eastAsia" w:ascii="仿宋" w:hAnsi="仿宋" w:eastAsia="仿宋" w:cs="仿宋"/>
                <w:b/>
                <w:color w:val="auto"/>
                <w:sz w:val="28"/>
                <w:szCs w:val="28"/>
                <w:lang w:eastAsia="zh-CN"/>
              </w:rPr>
            </w:pPr>
            <w:r>
              <w:rPr>
                <w:rFonts w:hint="eastAsia" w:ascii="仿宋" w:hAnsi="仿宋" w:eastAsia="仿宋" w:cs="仿宋"/>
                <w:b/>
                <w:color w:val="auto"/>
                <w:sz w:val="28"/>
                <w:szCs w:val="28"/>
                <w:lang w:eastAsia="zh-CN"/>
              </w:rPr>
              <w:t>新增（修订）备注</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866" w:hRule="atLeast"/>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履约保证金</w:t>
            </w:r>
          </w:p>
        </w:tc>
        <w:tc>
          <w:tcPr>
            <w:tcW w:w="1605" w:type="dxa"/>
            <w:vAlign w:val="center"/>
          </w:tcPr>
          <w:p>
            <w:pPr>
              <w:adjustRightInd w:val="0"/>
              <w:snapToGrid w:val="0"/>
              <w:spacing w:line="420" w:lineRule="exact"/>
              <w:jc w:val="cente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10</w:t>
            </w:r>
          </w:p>
        </w:tc>
        <w:tc>
          <w:tcPr>
            <w:tcW w:w="4650" w:type="dxa"/>
            <w:vAlign w:val="center"/>
          </w:tcPr>
          <w:p>
            <w:pPr>
              <w:adjustRightInd w:val="0"/>
              <w:snapToGrid w:val="0"/>
              <w:spacing w:line="420" w:lineRule="exact"/>
              <w:ind w:firstLine="560" w:firstLineChars="20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如卖方未按约定缴纳履约保证金的，买方有权暂停执行合同；自卖方缴纳后继续执行。</w:t>
            </w:r>
          </w:p>
        </w:tc>
        <w:tc>
          <w:tcPr>
            <w:tcW w:w="1640" w:type="dxa"/>
            <w:vAlign w:val="center"/>
          </w:tcPr>
          <w:p>
            <w:pPr>
              <w:adjustRightInd w:val="0"/>
              <w:snapToGrid w:val="0"/>
              <w:spacing w:line="420" w:lineRule="exact"/>
              <w:jc w:val="cente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2023年8月修订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866" w:hRule="atLeast"/>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词语定义</w:t>
            </w:r>
          </w:p>
        </w:tc>
        <w:tc>
          <w:tcPr>
            <w:tcW w:w="1605"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1.1 .17</w:t>
            </w:r>
          </w:p>
        </w:tc>
        <w:tc>
          <w:tcPr>
            <w:tcW w:w="4650" w:type="dxa"/>
            <w:vAlign w:val="center"/>
          </w:tcPr>
          <w:p>
            <w:pPr>
              <w:adjustRightInd w:val="0"/>
              <w:snapToGrid w:val="0"/>
              <w:spacing w:line="42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友好货物：山西公司修订条款中的“友好货物”指货物交付时，不仅要在其保质期内，而且距离保质期到期之日的天数超过四分之三的保质期长。例如，保质期是2年，货物交付当日距离保质期到期之日还应为1年半及以上。</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p>
            <w:pPr>
              <w:adjustRightInd w:val="0"/>
              <w:snapToGrid w:val="0"/>
              <w:spacing w:line="420" w:lineRule="exact"/>
              <w:jc w:val="center"/>
              <w:rPr>
                <w:rFonts w:hint="eastAsia" w:ascii="仿宋" w:hAnsi="仿宋" w:eastAsia="仿宋" w:cs="仿宋"/>
                <w:color w:val="auto"/>
                <w:sz w:val="28"/>
                <w:szCs w:val="28"/>
                <w:lang w:eastAsia="zh-CN"/>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866" w:hRule="atLeast"/>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词语定义</w:t>
            </w:r>
          </w:p>
        </w:tc>
        <w:tc>
          <w:tcPr>
            <w:tcW w:w="1605"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1.1 .18</w:t>
            </w:r>
          </w:p>
        </w:tc>
        <w:tc>
          <w:tcPr>
            <w:tcW w:w="4650" w:type="dxa"/>
            <w:vAlign w:val="center"/>
          </w:tcPr>
          <w:p>
            <w:pPr>
              <w:adjustRightInd w:val="0"/>
              <w:snapToGrid w:val="0"/>
              <w:spacing w:line="42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整体货物：买方向2个及以上的不同卖方采货2类及以上货物，且其中1家卖方（称为A供应商）供货1类物资（称为A物资），另外1或多家卖方（称为B、C等供应商）供货1或多类物资（称为B物资、C物资等）。当B物资、C物资等需要安装入A物资后，A物资方可发挥使用功能。此时已经安装了B物资、C物资以后的A物资被山西公司修订后的条款称为“整体货物”。</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p>
            <w:pPr>
              <w:adjustRightInd w:val="0"/>
              <w:snapToGrid w:val="0"/>
              <w:spacing w:line="420" w:lineRule="exact"/>
              <w:jc w:val="center"/>
              <w:rPr>
                <w:rFonts w:hint="eastAsia" w:ascii="仿宋" w:hAnsi="仿宋" w:eastAsia="仿宋" w:cs="仿宋"/>
                <w:color w:val="auto"/>
                <w:sz w:val="28"/>
                <w:szCs w:val="28"/>
                <w:lang w:eastAsia="zh-CN"/>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866" w:hRule="atLeast"/>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一般</w:t>
            </w:r>
          </w:p>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约定</w:t>
            </w:r>
          </w:p>
        </w:tc>
        <w:tc>
          <w:tcPr>
            <w:tcW w:w="1605"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1.1.4.2</w:t>
            </w:r>
          </w:p>
        </w:tc>
        <w:tc>
          <w:tcPr>
            <w:tcW w:w="4650" w:type="dxa"/>
            <w:vAlign w:val="center"/>
          </w:tcPr>
          <w:p>
            <w:pPr>
              <w:adjustRightInd w:val="0"/>
              <w:snapToGrid w:val="0"/>
              <w:spacing w:line="420" w:lineRule="exact"/>
              <w:rPr>
                <w:rFonts w:hint="eastAsia" w:ascii="仿宋" w:hAnsi="仿宋" w:eastAsia="仿宋" w:cs="仿宋"/>
                <w:snapToGrid w:val="0"/>
                <w:color w:val="auto"/>
                <w:sz w:val="28"/>
                <w:szCs w:val="28"/>
                <w:lang w:eastAsia="zh-CN"/>
              </w:rPr>
            </w:pPr>
            <w:r>
              <w:rPr>
                <w:rFonts w:hint="eastAsia" w:ascii="仿宋" w:hAnsi="仿宋" w:eastAsia="仿宋" w:cs="仿宋"/>
                <w:snapToGrid w:val="0"/>
                <w:color w:val="auto"/>
                <w:sz w:val="28"/>
                <w:szCs w:val="28"/>
                <w:lang w:eastAsia="zh-CN"/>
              </w:rPr>
              <w:t>（修改为）本合同中的“批次”、“批”，均指到货（当月）批次。</w:t>
            </w:r>
          </w:p>
          <w:p>
            <w:pPr>
              <w:adjustRightInd w:val="0"/>
              <w:snapToGrid w:val="0"/>
              <w:spacing w:line="420" w:lineRule="exact"/>
              <w:rPr>
                <w:rFonts w:hint="eastAsia" w:ascii="仿宋" w:hAnsi="仿宋" w:eastAsia="仿宋" w:cs="仿宋"/>
                <w:color w:val="auto"/>
                <w:sz w:val="28"/>
                <w:szCs w:val="28"/>
                <w:lang w:eastAsia="zh-CN"/>
              </w:rPr>
            </w:pPr>
            <w:r>
              <w:rPr>
                <w:rFonts w:hint="eastAsia" w:ascii="仿宋" w:hAnsi="仿宋" w:eastAsia="仿宋" w:cs="仿宋"/>
                <w:snapToGrid w:val="0"/>
                <w:color w:val="auto"/>
                <w:sz w:val="28"/>
                <w:szCs w:val="28"/>
                <w:lang w:eastAsia="zh-CN"/>
              </w:rPr>
              <w:t>备注：“批次”指物资到货的日历月。</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866" w:hRule="atLeast"/>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合同价格与支付</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3.2.1（4）</w:t>
            </w:r>
          </w:p>
        </w:tc>
        <w:tc>
          <w:tcPr>
            <w:tcW w:w="4650" w:type="dxa"/>
            <w:vAlign w:val="center"/>
          </w:tcPr>
          <w:p>
            <w:pPr>
              <w:adjustRightInd w:val="0"/>
              <w:snapToGrid w:val="0"/>
              <w:spacing w:line="420" w:lineRule="exact"/>
              <w:ind w:firstLine="536" w:firstLineChars="200"/>
              <w:rPr>
                <w:rFonts w:hint="eastAsia" w:ascii="仿宋" w:hAnsi="仿宋" w:eastAsia="仿宋" w:cs="仿宋"/>
                <w:snapToGrid w:val="0"/>
                <w:color w:val="auto"/>
                <w:sz w:val="28"/>
                <w:szCs w:val="28"/>
                <w:lang w:eastAsia="zh-CN"/>
              </w:rPr>
            </w:pPr>
            <w:r>
              <w:rPr>
                <w:rFonts w:hint="eastAsia" w:ascii="仿宋" w:hAnsi="仿宋" w:eastAsia="仿宋" w:cs="仿宋"/>
                <w:color w:val="auto"/>
                <w:spacing w:val="-6"/>
                <w:sz w:val="28"/>
                <w:szCs w:val="28"/>
                <w:lang w:eastAsia="zh-CN"/>
              </w:rPr>
              <w:t>（修改为）</w:t>
            </w:r>
            <w:r>
              <w:rPr>
                <w:rFonts w:hint="eastAsia" w:ascii="仿宋" w:hAnsi="仿宋" w:eastAsia="仿宋" w:cs="仿宋"/>
                <w:color w:val="auto"/>
                <w:spacing w:val="-6"/>
                <w:sz w:val="28"/>
                <w:szCs w:val="28"/>
                <w:shd w:val="clear" w:color="auto" w:fill="FFFFFF"/>
                <w:lang w:eastAsia="zh-CN"/>
              </w:rPr>
              <w:t>合同设备投入运行后，且无质量问题及索赔事项，卖方可向买方提交质保金保函或质保金保险，申请等额替代质保金。质保金保函应为中国注册的具有担保经营业务资格的银行或有关金融机构开具的保函，且保函出具银行须为卖方基本账户开户银行。买方在收到质保金保函</w:t>
            </w:r>
            <w:r>
              <w:rPr>
                <w:rFonts w:hint="eastAsia" w:ascii="仿宋" w:hAnsi="仿宋" w:eastAsia="仿宋" w:cs="仿宋"/>
                <w:color w:val="auto"/>
                <w:spacing w:val="-6"/>
                <w:sz w:val="28"/>
                <w:szCs w:val="28"/>
                <w:lang w:eastAsia="zh-CN"/>
              </w:rPr>
              <w:t>或保险后应向卖方支付质保金。银行或有关金融机构出具的保函或保险有效期不得短于质量保证期。</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3月修订，10月再次修订。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合同价格与支付</w:t>
            </w:r>
          </w:p>
        </w:tc>
        <w:tc>
          <w:tcPr>
            <w:tcW w:w="1605" w:type="dxa"/>
            <w:vAlign w:val="center"/>
          </w:tcPr>
          <w:p>
            <w:pPr>
              <w:adjustRightInd w:val="0"/>
              <w:snapToGrid w:val="0"/>
              <w:spacing w:line="42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3.7</w:t>
            </w:r>
          </w:p>
        </w:tc>
        <w:tc>
          <w:tcPr>
            <w:tcW w:w="4650" w:type="dxa"/>
            <w:vAlign w:val="center"/>
          </w:tcPr>
          <w:p>
            <w:pPr>
              <w:adjustRightInd w:val="0"/>
              <w:snapToGrid w:val="0"/>
              <w:spacing w:line="42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所有物资的价格联动基准由“合同供货单签发日上月”原材料平均价，调整为“合同供货单匹配日上一周”原材料平均价。</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2022年3月修订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监造</w:t>
            </w:r>
          </w:p>
        </w:tc>
        <w:tc>
          <w:tcPr>
            <w:tcW w:w="1605" w:type="dxa"/>
            <w:vAlign w:val="center"/>
          </w:tcPr>
          <w:p>
            <w:pPr>
              <w:adjustRightInd w:val="0"/>
              <w:snapToGrid w:val="0"/>
              <w:spacing w:line="420" w:lineRule="exact"/>
              <w:ind w:firstLine="280" w:firstLineChars="1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4.1.10</w:t>
            </w:r>
          </w:p>
        </w:tc>
        <w:tc>
          <w:tcPr>
            <w:tcW w:w="4650" w:type="dxa"/>
            <w:vAlign w:val="center"/>
          </w:tcPr>
          <w:p>
            <w:pPr>
              <w:adjustRightInd w:val="0"/>
              <w:snapToGrid w:val="0"/>
              <w:spacing w:line="420" w:lineRule="exact"/>
              <w:ind w:firstLine="536" w:firstLineChars="200"/>
              <w:rPr>
                <w:rFonts w:hint="eastAsia" w:ascii="仿宋" w:hAnsi="仿宋" w:eastAsia="仿宋" w:cs="仿宋"/>
                <w:b/>
                <w:bCs/>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（新增）云监造：</w:t>
            </w:r>
          </w:p>
          <w:p>
            <w:pPr>
              <w:pStyle w:val="12"/>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买方对卖方的货物制造，除进行驻厂监造、关键点见证等质量监督方式之外，同时还应用EIP（电工装备智慧物联平台）开展相应的“云监造”，即远程监造。卖方应在货物出厂前把所交付货物的所有“云监造”数据上传到EIP。</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p>
            <w:pPr>
              <w:adjustRightInd w:val="0"/>
              <w:snapToGrid w:val="0"/>
              <w:spacing w:line="480" w:lineRule="exact"/>
              <w:jc w:val="center"/>
              <w:rPr>
                <w:rFonts w:hint="eastAsia" w:ascii="仿宋" w:hAnsi="仿宋" w:eastAsia="仿宋" w:cs="仿宋"/>
                <w:color w:val="auto"/>
                <w:sz w:val="28"/>
                <w:szCs w:val="28"/>
                <w:lang w:eastAsia="zh-CN"/>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监造</w:t>
            </w:r>
          </w:p>
        </w:tc>
        <w:tc>
          <w:tcPr>
            <w:tcW w:w="1605" w:type="dxa"/>
            <w:vAlign w:val="center"/>
          </w:tcPr>
          <w:p>
            <w:pPr>
              <w:adjustRightInd w:val="0"/>
              <w:snapToGrid w:val="0"/>
              <w:spacing w:line="420" w:lineRule="exact"/>
              <w:ind w:firstLine="280" w:firstLineChars="1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4.1.11</w:t>
            </w:r>
          </w:p>
        </w:tc>
        <w:tc>
          <w:tcPr>
            <w:tcW w:w="4650" w:type="dxa"/>
            <w:vAlign w:val="center"/>
          </w:tcPr>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（新增）云监造：</w:t>
            </w:r>
          </w:p>
          <w:p>
            <w:pPr>
              <w:adjustRightInd w:val="0"/>
              <w:snapToGrid w:val="0"/>
              <w:spacing w:line="420" w:lineRule="exact"/>
              <w:ind w:firstLine="536" w:firstLineChars="200"/>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卖方所交付的货物，其对应“云监造”的《物资制造质量档案报告》中的“质量等级”应为“优等品”（即“综合评分”为90-100分）。若货物的“综合评分”低于90分时，卖方不得将货物出厂并交付买方。</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p>
            <w:pPr>
              <w:adjustRightInd w:val="0"/>
              <w:snapToGrid w:val="0"/>
              <w:spacing w:line="480" w:lineRule="exact"/>
              <w:jc w:val="center"/>
              <w:rPr>
                <w:rFonts w:hint="eastAsia" w:ascii="仿宋" w:hAnsi="仿宋" w:eastAsia="仿宋" w:cs="仿宋"/>
                <w:color w:val="auto"/>
                <w:sz w:val="28"/>
                <w:szCs w:val="28"/>
                <w:lang w:eastAsia="zh-CN"/>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抽检</w:t>
            </w:r>
          </w:p>
        </w:tc>
        <w:tc>
          <w:tcPr>
            <w:tcW w:w="1605" w:type="dxa"/>
            <w:vAlign w:val="center"/>
          </w:tcPr>
          <w:p>
            <w:pPr>
              <w:adjustRightInd w:val="0"/>
              <w:snapToGrid w:val="0"/>
              <w:spacing w:line="420" w:lineRule="exact"/>
              <w:ind w:firstLine="280" w:firstLineChars="1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4.2.5.7</w:t>
            </w:r>
          </w:p>
        </w:tc>
        <w:tc>
          <w:tcPr>
            <w:tcW w:w="4650" w:type="dxa"/>
            <w:vAlign w:val="center"/>
          </w:tcPr>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（新增）</w:t>
            </w:r>
          </w:p>
          <w:p>
            <w:pPr>
              <w:adjustRightInd w:val="0"/>
              <w:snapToGrid w:val="0"/>
              <w:spacing w:line="420" w:lineRule="exact"/>
              <w:ind w:firstLine="538" w:firstLineChars="200"/>
              <w:rPr>
                <w:rFonts w:hint="eastAsia" w:ascii="仿宋" w:hAnsi="仿宋" w:eastAsia="仿宋" w:cs="仿宋"/>
                <w:b/>
                <w:bCs/>
                <w:snapToGrid w:val="0"/>
                <w:color w:val="auto"/>
                <w:spacing w:val="-6"/>
                <w:sz w:val="28"/>
                <w:szCs w:val="28"/>
                <w:lang w:eastAsia="zh-CN"/>
              </w:rPr>
            </w:pPr>
            <w:r>
              <w:rPr>
                <w:rFonts w:hint="eastAsia" w:ascii="仿宋" w:hAnsi="仿宋" w:eastAsia="仿宋" w:cs="仿宋"/>
                <w:b/>
                <w:bCs/>
                <w:snapToGrid w:val="0"/>
                <w:color w:val="auto"/>
                <w:spacing w:val="-6"/>
                <w:sz w:val="28"/>
                <w:szCs w:val="28"/>
                <w:lang w:eastAsia="zh-CN"/>
              </w:rPr>
              <w:t>抽检不合格后，复检申请受理：</w:t>
            </w:r>
          </w:p>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抽检不合格，卖方可对检测结果提出一次异议。卖方需在收到抽检不合格约谈之日起3个工作日书面提交复检申请并将异议理由作为附件（所有异议理由应一次性全部提出）。卖方复检申请理由不充分，原则上买方约谈发出单位可拒绝卖方复检申请。若卖方复检申请理由充分且证据确凿，买方约谈发出单位应同意复检申请。若卖方对买方约谈发出单位的答复不认可，应于收到答复之日起3个工作日内向国网山西公司物资部书面申请复议，接收传真0351-8570941。</w:t>
            </w:r>
          </w:p>
          <w:p>
            <w:pPr>
              <w:pStyle w:val="12"/>
              <w:rPr>
                <w:rFonts w:hint="eastAsia" w:ascii="仿宋" w:hAnsi="仿宋" w:eastAsia="仿宋" w:cs="仿宋"/>
                <w:b/>
                <w:bCs/>
                <w:snapToGrid w:val="0"/>
                <w:color w:val="auto"/>
                <w:spacing w:val="-6"/>
                <w:sz w:val="28"/>
                <w:szCs w:val="28"/>
                <w:lang w:eastAsia="zh-CN"/>
              </w:rPr>
            </w:pPr>
            <w:r>
              <w:rPr>
                <w:rFonts w:hint="eastAsia" w:ascii="仿宋" w:hAnsi="仿宋" w:eastAsia="仿宋" w:cs="仿宋"/>
                <w:b/>
                <w:bCs/>
                <w:snapToGrid w:val="0"/>
                <w:color w:val="auto"/>
                <w:spacing w:val="-6"/>
                <w:sz w:val="28"/>
                <w:szCs w:val="28"/>
                <w:lang w:eastAsia="zh-CN"/>
              </w:rPr>
              <w:t>无需重新取样的复检：</w:t>
            </w:r>
          </w:p>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复检样品原则上应使用原样品。无法使用原样品重新试验的，应使用备用样品。</w:t>
            </w:r>
          </w:p>
          <w:p>
            <w:pPr>
              <w:pStyle w:val="12"/>
              <w:ind w:firstLine="538" w:firstLineChars="200"/>
              <w:rPr>
                <w:rFonts w:hint="eastAsia" w:ascii="仿宋" w:hAnsi="仿宋" w:eastAsia="仿宋" w:cs="仿宋"/>
                <w:b/>
                <w:bCs/>
                <w:snapToGrid w:val="0"/>
                <w:color w:val="auto"/>
                <w:spacing w:val="-6"/>
                <w:sz w:val="28"/>
                <w:szCs w:val="28"/>
                <w:lang w:eastAsia="zh-CN"/>
              </w:rPr>
            </w:pPr>
            <w:r>
              <w:rPr>
                <w:rFonts w:hint="eastAsia" w:ascii="仿宋" w:hAnsi="仿宋" w:eastAsia="仿宋" w:cs="仿宋"/>
                <w:b/>
                <w:bCs/>
                <w:snapToGrid w:val="0"/>
                <w:color w:val="auto"/>
                <w:spacing w:val="-6"/>
                <w:sz w:val="28"/>
                <w:szCs w:val="28"/>
                <w:lang w:eastAsia="zh-CN"/>
              </w:rPr>
              <w:t>需要重新取样的复检：</w:t>
            </w:r>
          </w:p>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无备用样品的，应抽取同一批次中3倍数量的新样品。若同一市公司同批次货物数量不足3倍的，应从不同市公司的同批次货物中补齐3倍数量的样品。若仍无法补齐3倍数量的，则取同批次货物全部的既有数量。</w:t>
            </w:r>
          </w:p>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货物同批次的判定以货物铭牌上显示的生产批次号为准。若无生产批次号，则以生产日期判定：生产日期在30天内（含）的，判定为同一批次。若生产日期只显示月未显示日的，则同一个月判定为同一批次。若生产日期只显示年，未显示月和日的，或者年也未显示的，则一个采购订单判定为同一生产批次，不同采购订单判定为不同批次。</w:t>
            </w:r>
          </w:p>
          <w:p>
            <w:pPr>
              <w:pStyle w:val="12"/>
              <w:ind w:firstLine="538" w:firstLineChars="200"/>
              <w:rPr>
                <w:rFonts w:hint="eastAsia" w:ascii="仿宋" w:hAnsi="仿宋" w:eastAsia="仿宋" w:cs="仿宋"/>
                <w:b/>
                <w:bCs/>
                <w:color w:val="auto"/>
                <w:sz w:val="28"/>
                <w:szCs w:val="28"/>
                <w:lang w:eastAsia="zh-CN"/>
              </w:rPr>
            </w:pPr>
            <w:r>
              <w:rPr>
                <w:rFonts w:hint="eastAsia" w:ascii="仿宋" w:hAnsi="仿宋" w:eastAsia="仿宋" w:cs="仿宋"/>
                <w:b/>
                <w:bCs/>
                <w:snapToGrid w:val="0"/>
                <w:color w:val="auto"/>
                <w:spacing w:val="-6"/>
                <w:sz w:val="28"/>
                <w:szCs w:val="28"/>
                <w:lang w:eastAsia="zh-CN"/>
              </w:rPr>
              <w:t>复检结果的判定：</w:t>
            </w:r>
          </w:p>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复检的任何一个样品不合格，均视为复检不合格。</w:t>
            </w:r>
          </w:p>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复检的全部样品都合格，则视为本批货物合格。卖方放弃对首次检测不合格结论的权益追索权，且免费替换首次检测“不合格”样品（含运费）。</w:t>
            </w:r>
          </w:p>
          <w:p>
            <w:pPr>
              <w:pStyle w:val="12"/>
              <w:rPr>
                <w:rFonts w:hint="eastAsia" w:ascii="仿宋" w:hAnsi="仿宋" w:eastAsia="仿宋" w:cs="仿宋"/>
                <w:b/>
                <w:bCs/>
                <w:snapToGrid w:val="0"/>
                <w:color w:val="auto"/>
                <w:spacing w:val="-6"/>
                <w:sz w:val="28"/>
                <w:szCs w:val="28"/>
                <w:lang w:eastAsia="zh-CN"/>
              </w:rPr>
            </w:pPr>
            <w:r>
              <w:rPr>
                <w:rFonts w:hint="eastAsia" w:ascii="仿宋" w:hAnsi="仿宋" w:eastAsia="仿宋" w:cs="仿宋"/>
                <w:b/>
                <w:bCs/>
                <w:snapToGrid w:val="0"/>
                <w:color w:val="auto"/>
                <w:spacing w:val="-6"/>
                <w:sz w:val="28"/>
                <w:szCs w:val="28"/>
                <w:lang w:eastAsia="zh-CN"/>
              </w:rPr>
              <w:t>复检相关费用的承担方：</w:t>
            </w:r>
          </w:p>
          <w:p>
            <w:pPr>
              <w:pStyle w:val="12"/>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不论复检结果是否合格，检测费和样品运输费均由卖方承担，单价执行买方对抽检单位和运输单位的招标采购价格。</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p>
            <w:pPr>
              <w:adjustRightInd w:val="0"/>
              <w:snapToGrid w:val="0"/>
              <w:spacing w:line="480" w:lineRule="exact"/>
              <w:jc w:val="center"/>
              <w:rPr>
                <w:rFonts w:hint="eastAsia" w:ascii="仿宋" w:hAnsi="仿宋" w:eastAsia="仿宋" w:cs="仿宋"/>
                <w:color w:val="auto"/>
                <w:sz w:val="28"/>
                <w:szCs w:val="28"/>
                <w:lang w:eastAsia="zh-CN"/>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抽检</w:t>
            </w:r>
          </w:p>
        </w:tc>
        <w:tc>
          <w:tcPr>
            <w:tcW w:w="1605" w:type="dxa"/>
            <w:vAlign w:val="center"/>
          </w:tcPr>
          <w:p>
            <w:pPr>
              <w:adjustRightInd w:val="0"/>
              <w:snapToGrid w:val="0"/>
              <w:spacing w:line="42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4.2.5.10</w:t>
            </w:r>
          </w:p>
        </w:tc>
        <w:tc>
          <w:tcPr>
            <w:tcW w:w="4650" w:type="dxa"/>
          </w:tcPr>
          <w:p>
            <w:pPr>
              <w:widowControl/>
              <w:ind w:firstLine="536" w:firstLineChars="200"/>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卖方交付货物抽检不合格，且在《电网物资抽检结果分类分级导则》中未明确不合格等级认定标准的，应认定为Ⅲ级质量问题，按照Ⅲ级级质量问题进行后续处理。</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2022年3月新增为14.2.4条。2022年10月调整为4.2.5.10条</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Merge w:val="restart"/>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包装、标记、运输和交付</w:t>
            </w:r>
          </w:p>
        </w:tc>
        <w:tc>
          <w:tcPr>
            <w:tcW w:w="1605" w:type="dxa"/>
            <w:vMerge w:val="restart"/>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5.4.9</w:t>
            </w:r>
          </w:p>
        </w:tc>
        <w:tc>
          <w:tcPr>
            <w:tcW w:w="4650" w:type="dxa"/>
            <w:vAlign w:val="center"/>
          </w:tcPr>
          <w:p>
            <w:pPr>
              <w:adjustRightInd w:val="0"/>
              <w:snapToGrid w:val="0"/>
              <w:spacing w:line="420" w:lineRule="exact"/>
              <w:ind w:firstLine="536" w:firstLineChars="200"/>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柱上变台成套的运输包装，除配电变压器和JP柜单独包装外，其他所有附件须集中打包在一个包装箱内，便于清点和发货装卸。</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2022年3月新增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Merge w:val="continue"/>
            <w:vAlign w:val="center"/>
          </w:tcPr>
          <w:p>
            <w:pPr>
              <w:adjustRightInd w:val="0"/>
              <w:snapToGrid w:val="0"/>
              <w:spacing w:line="420" w:lineRule="exact"/>
              <w:jc w:val="center"/>
              <w:rPr>
                <w:rFonts w:hint="eastAsia" w:ascii="仿宋" w:hAnsi="仿宋" w:eastAsia="仿宋" w:cs="仿宋"/>
                <w:color w:val="auto"/>
                <w:sz w:val="28"/>
                <w:szCs w:val="28"/>
                <w:lang w:eastAsia="zh-CN"/>
              </w:rPr>
            </w:pPr>
          </w:p>
        </w:tc>
        <w:tc>
          <w:tcPr>
            <w:tcW w:w="1605" w:type="dxa"/>
            <w:vMerge w:val="continue"/>
            <w:vAlign w:val="center"/>
          </w:tcPr>
          <w:p>
            <w:pPr>
              <w:adjustRightInd w:val="0"/>
              <w:snapToGrid w:val="0"/>
              <w:spacing w:line="420" w:lineRule="exact"/>
              <w:jc w:val="center"/>
              <w:rPr>
                <w:rFonts w:hint="eastAsia" w:ascii="仿宋" w:hAnsi="仿宋" w:eastAsia="仿宋" w:cs="仿宋"/>
                <w:color w:val="auto"/>
                <w:sz w:val="28"/>
                <w:szCs w:val="28"/>
                <w:lang w:eastAsia="zh-CN"/>
              </w:rPr>
            </w:pPr>
          </w:p>
        </w:tc>
        <w:tc>
          <w:tcPr>
            <w:tcW w:w="4650" w:type="dxa"/>
            <w:vAlign w:val="center"/>
          </w:tcPr>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（新增）卖方应在货物铭牌或货物外表面显著位置清晰显示货物的生产批次号和生产日期（要具体到年月日）。若铭牌上的信息与生产合格证等纸质资料的信息不一致，则以铭牌上显示在信息为准。</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Merge w:val="continue"/>
            <w:vAlign w:val="center"/>
          </w:tcPr>
          <w:p>
            <w:pPr>
              <w:adjustRightInd w:val="0"/>
              <w:snapToGrid w:val="0"/>
              <w:spacing w:line="420" w:lineRule="exact"/>
              <w:jc w:val="center"/>
              <w:rPr>
                <w:rFonts w:hint="eastAsia" w:ascii="仿宋" w:hAnsi="仿宋" w:eastAsia="仿宋" w:cs="仿宋"/>
                <w:color w:val="auto"/>
                <w:sz w:val="28"/>
                <w:szCs w:val="28"/>
                <w:lang w:eastAsia="zh-CN"/>
              </w:rPr>
            </w:pPr>
          </w:p>
        </w:tc>
        <w:tc>
          <w:tcPr>
            <w:tcW w:w="1605" w:type="dxa"/>
            <w:vMerge w:val="continue"/>
            <w:vAlign w:val="center"/>
          </w:tcPr>
          <w:p>
            <w:pPr>
              <w:adjustRightInd w:val="0"/>
              <w:snapToGrid w:val="0"/>
              <w:spacing w:line="420" w:lineRule="exact"/>
              <w:jc w:val="center"/>
              <w:rPr>
                <w:rFonts w:hint="eastAsia" w:ascii="仿宋" w:hAnsi="仿宋" w:eastAsia="仿宋" w:cs="仿宋"/>
                <w:color w:val="auto"/>
                <w:sz w:val="28"/>
                <w:szCs w:val="28"/>
                <w:lang w:eastAsia="zh-CN"/>
              </w:rPr>
            </w:pPr>
          </w:p>
        </w:tc>
        <w:tc>
          <w:tcPr>
            <w:tcW w:w="4650" w:type="dxa"/>
            <w:vAlign w:val="center"/>
          </w:tcPr>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（新增）特别是电缆保护管外表应有不可涂改的供应商标识和生产的年月日。</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Align w:val="center"/>
          </w:tcPr>
          <w:p>
            <w:pPr>
              <w:adjustRightInd w:val="0"/>
              <w:snapToGrid w:val="0"/>
              <w:spacing w:line="480" w:lineRule="exact"/>
              <w:jc w:val="center"/>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包装、标记、运输和交付</w:t>
            </w:r>
          </w:p>
        </w:tc>
        <w:tc>
          <w:tcPr>
            <w:tcW w:w="1605" w:type="dxa"/>
            <w:vAlign w:val="center"/>
          </w:tcPr>
          <w:p>
            <w:pPr>
              <w:adjustRightInd w:val="0"/>
              <w:snapToGrid w:val="0"/>
              <w:spacing w:line="480" w:lineRule="exact"/>
              <w:jc w:val="center"/>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5.4.10</w:t>
            </w:r>
          </w:p>
        </w:tc>
        <w:tc>
          <w:tcPr>
            <w:tcW w:w="4650" w:type="dxa"/>
          </w:tcPr>
          <w:p>
            <w:pPr>
              <w:spacing w:line="480" w:lineRule="exact"/>
              <w:ind w:firstLine="560"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bCs/>
                <w:color w:val="auto"/>
                <w:sz w:val="28"/>
                <w:szCs w:val="28"/>
                <w:lang w:eastAsia="zh-CN"/>
              </w:rPr>
              <w:t>（新增）卖方应确保交付的货物与投标响应一致，特别是组部件的品牌和型号应一致。若投标响应的组部件配置表中或其备注栏中写着“按实际情况选用、同档次产品”等模糊性字眼，造成买方无法判定卖方交付的组部件是否满足投标响应，将被判定为卖方交付的组部件与其投标响应不一致，视为卖方“擅自更换组部件”。</w:t>
            </w:r>
          </w:p>
        </w:tc>
        <w:tc>
          <w:tcPr>
            <w:tcW w:w="1640" w:type="dxa"/>
            <w:vAlign w:val="center"/>
          </w:tcPr>
          <w:p>
            <w:pPr>
              <w:adjustRightInd w:val="0"/>
              <w:snapToGrid w:val="0"/>
              <w:spacing w:line="480" w:lineRule="exact"/>
              <w:jc w:val="center"/>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Align w:val="center"/>
          </w:tcPr>
          <w:p>
            <w:pPr>
              <w:spacing w:line="500" w:lineRule="exact"/>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包装、标记、运输和交付</w:t>
            </w:r>
          </w:p>
        </w:tc>
        <w:tc>
          <w:tcPr>
            <w:tcW w:w="1605" w:type="dxa"/>
            <w:vAlign w:val="center"/>
          </w:tcPr>
          <w:p>
            <w:pPr>
              <w:spacing w:line="500" w:lineRule="exact"/>
              <w:jc w:val="center"/>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5.4.11</w:t>
            </w:r>
          </w:p>
        </w:tc>
        <w:tc>
          <w:tcPr>
            <w:tcW w:w="4650" w:type="dxa"/>
            <w:vAlign w:val="center"/>
          </w:tcPr>
          <w:p>
            <w:pPr>
              <w:spacing w:line="500" w:lineRule="exact"/>
              <w:ind w:firstLine="560"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（新增）卖方中标后的图纸确认、设计变更、组部件（品牌和型号）变化等应形成正式的合同变更后方可生效执行。未签署变更后的合同之前，卖方不得交付货物。</w:t>
            </w:r>
          </w:p>
        </w:tc>
        <w:tc>
          <w:tcPr>
            <w:tcW w:w="1640" w:type="dxa"/>
            <w:vAlign w:val="center"/>
          </w:tcPr>
          <w:p>
            <w:pPr>
              <w:spacing w:line="500" w:lineRule="exact"/>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包装、标记、运输和交付</w:t>
            </w:r>
          </w:p>
        </w:tc>
        <w:tc>
          <w:tcPr>
            <w:tcW w:w="1605"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5.4.12</w:t>
            </w:r>
          </w:p>
        </w:tc>
        <w:tc>
          <w:tcPr>
            <w:tcW w:w="4650" w:type="dxa"/>
            <w:vAlign w:val="center"/>
          </w:tcPr>
          <w:p>
            <w:pPr>
              <w:adjustRightInd w:val="0"/>
              <w:snapToGrid w:val="0"/>
              <w:spacing w:line="420" w:lineRule="exact"/>
              <w:ind w:firstLine="560" w:firstLineChars="200"/>
              <w:rPr>
                <w:rFonts w:hint="eastAsia" w:ascii="仿宋" w:hAnsi="仿宋" w:eastAsia="仿宋" w:cs="仿宋"/>
                <w:bCs/>
                <w:color w:val="auto"/>
                <w:sz w:val="28"/>
                <w:szCs w:val="28"/>
                <w:lang w:eastAsia="zh-CN"/>
              </w:rPr>
            </w:pPr>
            <w:r>
              <w:rPr>
                <w:rFonts w:hint="eastAsia" w:ascii="仿宋" w:hAnsi="仿宋" w:eastAsia="仿宋" w:cs="仿宋"/>
                <w:color w:val="auto"/>
                <w:sz w:val="28"/>
                <w:szCs w:val="28"/>
                <w:lang w:eastAsia="zh-CN"/>
              </w:rPr>
              <w:t>（新增）卖方应确保所交付货物满足招标采购技术规范和合同约定等有关要求，特别是要确保交付的是买方订购的货物、铭牌与货物严格保持一致、货物组部件品牌与投标响应或变更后的合同保持一致、货物内外部螺栓紧固程度能承受运输装卸的颠簸震动等。</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p>
            <w:pPr>
              <w:adjustRightInd w:val="0"/>
              <w:snapToGrid w:val="0"/>
              <w:spacing w:line="480" w:lineRule="exact"/>
              <w:jc w:val="center"/>
              <w:rPr>
                <w:rFonts w:hint="eastAsia" w:ascii="仿宋" w:hAnsi="仿宋" w:eastAsia="仿宋" w:cs="仿宋"/>
                <w:color w:val="auto"/>
                <w:sz w:val="28"/>
                <w:szCs w:val="28"/>
                <w:lang w:eastAsia="zh-CN"/>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包装、标记、运输和交付</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5.4.13</w:t>
            </w:r>
          </w:p>
        </w:tc>
        <w:tc>
          <w:tcPr>
            <w:tcW w:w="4650" w:type="dxa"/>
            <w:vAlign w:val="center"/>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对于有保质期的货物，卖方应尽快交付“友好货物”，避免刚交货就临近保质期的“不友好”现象。交付日期应处于保质期间的前1／4时段。例如，保质期是2年，则交付货物时，该货物的保质期应为1年半及以上。</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p>
            <w:pPr>
              <w:adjustRightInd w:val="0"/>
              <w:snapToGrid w:val="0"/>
              <w:spacing w:line="480" w:lineRule="exact"/>
              <w:jc w:val="center"/>
              <w:rPr>
                <w:rFonts w:hint="eastAsia" w:ascii="仿宋" w:hAnsi="仿宋" w:eastAsia="仿宋" w:cs="仿宋"/>
                <w:color w:val="auto"/>
                <w:sz w:val="28"/>
                <w:szCs w:val="28"/>
                <w:lang w:eastAsia="zh-CN"/>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包装、标记、运输和交付</w:t>
            </w:r>
          </w:p>
        </w:tc>
        <w:tc>
          <w:tcPr>
            <w:tcW w:w="1605" w:type="dxa"/>
            <w:vAlign w:val="center"/>
          </w:tcPr>
          <w:p>
            <w:pPr>
              <w:adjustRightInd w:val="0"/>
              <w:snapToGrid w:val="0"/>
              <w:spacing w:line="480" w:lineRule="exact"/>
              <w:jc w:val="center"/>
              <w:rPr>
                <w:rFonts w:hint="eastAsia" w:ascii="仿宋" w:hAnsi="仿宋" w:eastAsia="仿宋" w:cs="仿宋"/>
                <w:b/>
                <w:bCs/>
                <w:color w:val="auto"/>
                <w:sz w:val="28"/>
                <w:szCs w:val="28"/>
                <w:lang w:eastAsia="zh-CN"/>
              </w:rPr>
            </w:pPr>
            <w:r>
              <w:rPr>
                <w:rFonts w:hint="eastAsia" w:ascii="仿宋" w:hAnsi="仿宋" w:eastAsia="仿宋" w:cs="仿宋"/>
                <w:color w:val="auto"/>
                <w:sz w:val="28"/>
                <w:szCs w:val="28"/>
                <w:lang w:eastAsia="zh-CN"/>
              </w:rPr>
              <w:t>5.4.14</w:t>
            </w: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（新增）卖方应按期交付货物，并提前做好各类突发情况的预见性措施，包括疫情、天气变化、交通受阻等情形，提前做好相关的预案，确保按期交货。</w:t>
            </w:r>
          </w:p>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卖方应选择有实力和经验的原材料和组部件提供商，确保不会影响卖方按期交货。</w:t>
            </w:r>
          </w:p>
        </w:tc>
        <w:tc>
          <w:tcPr>
            <w:tcW w:w="1640" w:type="dxa"/>
            <w:vAlign w:val="center"/>
          </w:tcPr>
          <w:p>
            <w:pPr>
              <w:widowControl/>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Align w:val="center"/>
          </w:tcPr>
          <w:p>
            <w:pPr>
              <w:adjustRightInd w:val="0"/>
              <w:snapToGrid w:val="0"/>
              <w:spacing w:line="420" w:lineRule="exact"/>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包装、标记、运输和交付</w:t>
            </w:r>
          </w:p>
        </w:tc>
        <w:tc>
          <w:tcPr>
            <w:tcW w:w="1605" w:type="dxa"/>
            <w:vAlign w:val="center"/>
          </w:tcPr>
          <w:p>
            <w:pPr>
              <w:adjustRightInd w:val="0"/>
              <w:snapToGrid w:val="0"/>
              <w:spacing w:line="420" w:lineRule="exact"/>
              <w:jc w:val="center"/>
              <w:rPr>
                <w:rFonts w:hint="eastAsia" w:ascii="仿宋" w:hAnsi="仿宋" w:eastAsia="仿宋" w:cs="仿宋"/>
                <w:snapToGrid w:val="0"/>
                <w:color w:val="auto"/>
                <w:spacing w:val="-6"/>
                <w:sz w:val="28"/>
                <w:szCs w:val="28"/>
                <w:highlight w:val="yellow"/>
                <w:lang w:eastAsia="zh-CN"/>
              </w:rPr>
            </w:pPr>
            <w:r>
              <w:rPr>
                <w:rFonts w:hint="eastAsia" w:ascii="仿宋" w:hAnsi="仿宋" w:eastAsia="仿宋" w:cs="仿宋"/>
                <w:snapToGrid w:val="0"/>
                <w:color w:val="auto"/>
                <w:spacing w:val="-6"/>
                <w:sz w:val="28"/>
                <w:szCs w:val="28"/>
                <w:lang w:eastAsia="zh-CN"/>
              </w:rPr>
              <w:t>5.4.15</w:t>
            </w:r>
          </w:p>
        </w:tc>
        <w:tc>
          <w:tcPr>
            <w:tcW w:w="4650" w:type="dxa"/>
          </w:tcPr>
          <w:p>
            <w:pPr>
              <w:spacing w:line="500" w:lineRule="exact"/>
              <w:ind w:firstLine="560"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新增）对于买方另行采购其他组部件，交由卖方组装到卖方货物中的情形，卖方应按期交付“整体货物”。若买方另行采购的其他组部件不能及时送达卖方组装场地，卖方应及时告知买方的“地市级及以上物资管理部门”。若卖方未及时书面告知买方，则视为上述组部件的延迟送达不影响卖方按合同交货期交付“整体货物”。</w:t>
            </w:r>
          </w:p>
        </w:tc>
        <w:tc>
          <w:tcPr>
            <w:tcW w:w="1640" w:type="dxa"/>
            <w:vAlign w:val="center"/>
          </w:tcPr>
          <w:p>
            <w:pPr>
              <w:adjustRightInd w:val="0"/>
              <w:snapToGrid w:val="0"/>
              <w:spacing w:line="480" w:lineRule="exact"/>
              <w:jc w:val="center"/>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Align w:val="center"/>
          </w:tcPr>
          <w:p>
            <w:pPr>
              <w:adjustRightInd w:val="0"/>
              <w:snapToGrid w:val="0"/>
              <w:spacing w:line="420" w:lineRule="exact"/>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包装、标记、运输和交付</w:t>
            </w:r>
          </w:p>
        </w:tc>
        <w:tc>
          <w:tcPr>
            <w:tcW w:w="1605"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5.4.16</w:t>
            </w:r>
          </w:p>
        </w:tc>
        <w:tc>
          <w:tcPr>
            <w:tcW w:w="4650" w:type="dxa"/>
          </w:tcPr>
          <w:p>
            <w:pPr>
              <w:adjustRightInd w:val="0"/>
              <w:snapToGrid w:val="0"/>
              <w:spacing w:line="420" w:lineRule="exact"/>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（新增）卖方应在发货前加强与买方“地市级及以上物资管理部门”的沟通。卖方须按照买方物资管理部门书面指定的地点按合同约定时间交付货物。</w:t>
            </w:r>
          </w:p>
          <w:p>
            <w:pPr>
              <w:adjustRightInd w:val="0"/>
              <w:snapToGrid w:val="0"/>
              <w:spacing w:line="420" w:lineRule="exact"/>
              <w:ind w:firstLine="536" w:firstLineChars="200"/>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买方的其他非“地市级及以上物资管理部门”要求卖方暂缓发货、开展组部件质量检测或联合调试的，应有买方“地市级及以上物资管理部门”的书面通知。</w:t>
            </w:r>
          </w:p>
        </w:tc>
        <w:tc>
          <w:tcPr>
            <w:tcW w:w="1640" w:type="dxa"/>
            <w:vAlign w:val="center"/>
          </w:tcPr>
          <w:p>
            <w:pPr>
              <w:adjustRightInd w:val="0"/>
              <w:snapToGrid w:val="0"/>
              <w:spacing w:line="420" w:lineRule="exact"/>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373" w:hRule="atLeast"/>
          <w:jc w:val="center"/>
        </w:trPr>
        <w:tc>
          <w:tcPr>
            <w:tcW w:w="1181" w:type="dxa"/>
            <w:vAlign w:val="center"/>
          </w:tcPr>
          <w:p>
            <w:pPr>
              <w:adjustRightInd w:val="0"/>
              <w:snapToGrid w:val="0"/>
              <w:spacing w:line="42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开箱检验、安装、调试、考核、验收</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6.1.9</w:t>
            </w:r>
          </w:p>
        </w:tc>
        <w:tc>
          <w:tcPr>
            <w:tcW w:w="4650" w:type="dxa"/>
            <w:vAlign w:val="center"/>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对于质量检测机构的选择，以买方确定检测机构为准。</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2022年3月新增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889" w:hRule="atLeast"/>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履约保证金</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10</w:t>
            </w:r>
          </w:p>
        </w:tc>
        <w:tc>
          <w:tcPr>
            <w:tcW w:w="4650" w:type="dxa"/>
            <w:vAlign w:val="center"/>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履约保证金可为由中国注册的具有担保经营业务资格的银行或有关金融机构开具的保函且保函出具银行须为卖方基本账户开户银行，或者为现金、汇票、支票，或向具有保证保险经营业务资格的保险公司投保履约保证保险，该履约保证保险产品应经银行保险监管部门审批或备案，与提供履约保证金有关的费用由卖方负担。</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2022年3月修订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14.2.4</w:t>
            </w: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卖方交付货物抽检不合格，被认定为I级的，应按照每发生一次处罚30000元或按照换货物资合同额的10%支付违约金（二者以较大者为准），合同违约金的最高封顶金额为50万元。</w:t>
            </w:r>
          </w:p>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卖方交付货物抽检不合格，被认定为II级的，应按照每发生一次处罚10000元或按照换货物资合同额的5%支付违约金（二者以较大者为准），合同违约金的最高封顶金额为30万元。</w:t>
            </w:r>
          </w:p>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卖方交付货物抽检不合格，被认定为III级的，应按照每发生一次处罚3000元或按照换货物资合同额的3%支付违约金（二者以较大者为准），合同违约金的最高封顶金额为20万元。</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2021年度修订，2022年10月再修订。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003" w:hRule="atLeast"/>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14.2.4</w:t>
            </w:r>
          </w:p>
        </w:tc>
        <w:tc>
          <w:tcPr>
            <w:tcW w:w="4650" w:type="dxa"/>
          </w:tcPr>
          <w:p>
            <w:pPr>
              <w:pStyle w:val="12"/>
              <w:rPr>
                <w:rFonts w:hint="eastAsia" w:ascii="仿宋" w:hAnsi="仿宋" w:eastAsia="仿宋" w:cs="仿宋"/>
                <w:color w:val="auto"/>
                <w:sz w:val="28"/>
                <w:szCs w:val="28"/>
                <w:lang w:eastAsia="zh-CN"/>
              </w:rPr>
            </w:pPr>
          </w:p>
          <w:p>
            <w:pPr>
              <w:widowControl/>
              <w:ind w:firstLine="280" w:firstLineChars="100"/>
              <w:rPr>
                <w:rFonts w:hint="eastAsia" w:ascii="仿宋" w:hAnsi="仿宋" w:eastAsia="仿宋" w:cs="仿宋"/>
                <w:snapToGrid w:val="0"/>
                <w:color w:val="auto"/>
                <w:spacing w:val="-6"/>
                <w:sz w:val="28"/>
                <w:szCs w:val="28"/>
                <w:lang w:eastAsia="zh-CN"/>
              </w:rPr>
            </w:pPr>
            <w:r>
              <w:rPr>
                <w:rFonts w:hint="eastAsia" w:ascii="仿宋" w:hAnsi="仿宋" w:eastAsia="仿宋" w:cs="仿宋"/>
                <w:color w:val="auto"/>
                <w:sz w:val="28"/>
                <w:szCs w:val="28"/>
                <w:lang w:eastAsia="zh-CN"/>
              </w:rPr>
              <w:t>(新增)检测不合格，卖方应换货。换货范围是不合格样品所在订单内的同型号产品。</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518" w:hRule="atLeast"/>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14.2.4</w:t>
            </w:r>
          </w:p>
        </w:tc>
        <w:tc>
          <w:tcPr>
            <w:tcW w:w="4650" w:type="dxa"/>
          </w:tcPr>
          <w:p>
            <w:pPr>
              <w:pStyle w:val="12"/>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w:t>
            </w:r>
            <w:r>
              <w:rPr>
                <w:rFonts w:hint="eastAsia" w:ascii="仿宋" w:hAnsi="仿宋" w:eastAsia="仿宋" w:cs="仿宋"/>
                <w:b/>
                <w:bCs/>
                <w:color w:val="auto"/>
                <w:sz w:val="28"/>
                <w:szCs w:val="28"/>
                <w:lang w:eastAsia="zh-CN"/>
              </w:rPr>
              <w:t>复检不合格，将加重对卖方的不良行为处理力度。</w:t>
            </w:r>
          </w:p>
          <w:p>
            <w:pPr>
              <w:pStyle w:val="12"/>
              <w:ind w:firstLine="536" w:firstLineChars="200"/>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复检不合格的每个样品均被视为独立的一条进行质量不合格积分，且与复检前的首次检测不合格积分进行累计。最终按照首检和复检的累计总积分，对卖方进行不良行为处理。</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518" w:hRule="atLeast"/>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14.2.4</w:t>
            </w:r>
          </w:p>
        </w:tc>
        <w:tc>
          <w:tcPr>
            <w:tcW w:w="4650" w:type="dxa"/>
          </w:tcPr>
          <w:p>
            <w:pPr>
              <w:widowControl/>
              <w:ind w:firstLine="560" w:firstLineChars="200"/>
              <w:rPr>
                <w:rFonts w:hint="eastAsia" w:ascii="仿宋" w:hAnsi="仿宋" w:eastAsia="仿宋" w:cs="仿宋"/>
                <w:b/>
                <w:bCs/>
                <w:color w:val="auto"/>
                <w:sz w:val="28"/>
                <w:szCs w:val="28"/>
                <w:lang w:eastAsia="zh-CN"/>
              </w:rPr>
            </w:pPr>
            <w:r>
              <w:rPr>
                <w:rFonts w:hint="eastAsia" w:ascii="仿宋" w:hAnsi="仿宋" w:eastAsia="仿宋" w:cs="仿宋"/>
                <w:color w:val="auto"/>
                <w:sz w:val="28"/>
                <w:szCs w:val="28"/>
                <w:lang w:eastAsia="zh-CN"/>
              </w:rPr>
              <w:t>（新增）</w:t>
            </w:r>
            <w:r>
              <w:rPr>
                <w:rFonts w:hint="eastAsia" w:ascii="仿宋" w:hAnsi="仿宋" w:eastAsia="仿宋" w:cs="仿宋"/>
                <w:b/>
                <w:bCs/>
                <w:color w:val="auto"/>
                <w:sz w:val="28"/>
                <w:szCs w:val="28"/>
                <w:lang w:eastAsia="zh-CN"/>
              </w:rPr>
              <w:t>复检不合格后的合同违约金处罚：</w:t>
            </w:r>
          </w:p>
          <w:p>
            <w:pPr>
              <w:pStyle w:val="12"/>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若复检不合格的所有复检样品均来自与首次检测不合格样品相同的订单，则对该订单开展相应的合同违约金处罚。</w:t>
            </w:r>
          </w:p>
          <w:p>
            <w:pPr>
              <w:pStyle w:val="12"/>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若复检不合格的任一样品来自与首次检测不合格样品订单不同的新订单，则该新订单也应开展相应的合同违约金处罚。</w:t>
            </w:r>
          </w:p>
          <w:p>
            <w:pPr>
              <w:pStyle w:val="12"/>
              <w:ind w:firstLine="562" w:firstLineChars="200"/>
              <w:rPr>
                <w:rFonts w:hint="eastAsia" w:ascii="仿宋" w:hAnsi="仿宋" w:eastAsia="仿宋" w:cs="仿宋"/>
                <w:color w:val="auto"/>
                <w:sz w:val="28"/>
                <w:szCs w:val="28"/>
                <w:lang w:eastAsia="zh-CN"/>
              </w:rPr>
            </w:pPr>
            <w:r>
              <w:rPr>
                <w:rFonts w:hint="eastAsia" w:ascii="仿宋" w:hAnsi="仿宋" w:eastAsia="仿宋" w:cs="仿宋"/>
                <w:b/>
                <w:bCs/>
                <w:color w:val="auto"/>
                <w:sz w:val="28"/>
                <w:szCs w:val="28"/>
                <w:lang w:eastAsia="zh-CN"/>
              </w:rPr>
              <w:t>复检不合格后的换货：</w:t>
            </w:r>
          </w:p>
          <w:p>
            <w:pPr>
              <w:pStyle w:val="12"/>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若复检不合格的所有复检样品均来自与首次检测不合格样品相同的订单，则对该订单开展相应的换货。</w:t>
            </w:r>
          </w:p>
          <w:p>
            <w:pPr>
              <w:pStyle w:val="12"/>
              <w:ind w:firstLine="536" w:firstLineChars="200"/>
              <w:rPr>
                <w:rFonts w:hint="eastAsia" w:ascii="仿宋" w:hAnsi="仿宋" w:eastAsia="仿宋" w:cs="仿宋"/>
                <w:snapToGrid w:val="0"/>
                <w:color w:val="auto"/>
                <w:spacing w:val="-6"/>
                <w:sz w:val="28"/>
                <w:szCs w:val="28"/>
                <w:lang w:eastAsia="zh-CN"/>
              </w:rPr>
            </w:pPr>
            <w:r>
              <w:rPr>
                <w:rFonts w:hint="eastAsia" w:ascii="仿宋" w:hAnsi="仿宋" w:eastAsia="仿宋" w:cs="仿宋"/>
                <w:snapToGrid w:val="0"/>
                <w:color w:val="auto"/>
                <w:spacing w:val="-6"/>
                <w:sz w:val="28"/>
                <w:szCs w:val="28"/>
                <w:lang w:eastAsia="zh-CN"/>
              </w:rPr>
              <w:t>若复检不合格的任一样品来自与首次检测不合格样品订单不同的新订单，则该新订单也应开展相应的换货。</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14.2.6</w:t>
            </w: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卖方逾期交货的，买方有权按迟交货物金额的2‰/天向卖方主张违约金。违约金总额不超过迟交货物金额的20%，最高封顶额15万元。</w:t>
            </w:r>
          </w:p>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迟延交货违约金总额达到迟交货金额的10%或者迟交合同设备对安装、试运行有重大影响的，买方有权解除该订单，并可以依其认为适当的条件和方法购买可替代的货物，由此发生的差价、增加的费用和损失等由卖方承担。</w:t>
            </w:r>
          </w:p>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（增加）买方可视违约情况及对工程的影响,按照14.5条和15条规定解除合同。</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2021年度修订，2022年10月再次修订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14.2.10</w:t>
            </w:r>
          </w:p>
        </w:tc>
        <w:tc>
          <w:tcPr>
            <w:tcW w:w="4650" w:type="dxa"/>
          </w:tcPr>
          <w:p>
            <w:pPr>
              <w:widowControl/>
              <w:ind w:firstLine="560" w:firstLineChars="200"/>
              <w:rPr>
                <w:rFonts w:hint="eastAsia" w:ascii="仿宋" w:hAnsi="仿宋" w:eastAsia="仿宋" w:cs="仿宋"/>
                <w:bCs/>
                <w:color w:val="auto"/>
                <w:sz w:val="28"/>
                <w:szCs w:val="28"/>
                <w:lang w:eastAsia="zh-CN"/>
              </w:rPr>
            </w:pPr>
            <w:r>
              <w:rPr>
                <w:rFonts w:hint="eastAsia" w:ascii="仿宋" w:hAnsi="仿宋" w:eastAsia="仿宋" w:cs="仿宋"/>
                <w:color w:val="auto"/>
                <w:sz w:val="28"/>
                <w:szCs w:val="28"/>
                <w:lang w:eastAsia="zh-CN"/>
              </w:rPr>
              <w:t>在质量保证期内合同设备出现质量问题，卖方接到通知后未在48小时内到达现场进行处置的，严重缺陷的处置每推迟1日，卖方应向买方支付原订单金额的0.5%，违约金额不超过相应订单金额的10%；危急缺陷的处置每推迟1日，卖方应向买方支付原订单金额的1%，违约金额不超过相应订单金额的15%。</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2021年度修订，2022年10月再修订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14.5</w:t>
            </w:r>
          </w:p>
          <w:p>
            <w:pPr>
              <w:adjustRightInd w:val="0"/>
              <w:snapToGrid w:val="0"/>
              <w:spacing w:line="480" w:lineRule="exact"/>
              <w:jc w:val="center"/>
              <w:rPr>
                <w:rFonts w:hint="eastAsia" w:ascii="仿宋" w:hAnsi="仿宋" w:eastAsia="仿宋" w:cs="仿宋"/>
                <w:color w:val="auto"/>
                <w:sz w:val="28"/>
                <w:szCs w:val="28"/>
                <w:lang w:eastAsia="zh-CN"/>
              </w:rPr>
            </w:pP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买方有权在违约事实发生后的任一时刻通知卖方在限定期限内纠正其违约行为，并视卖方行为按合同约定实施相应处罚。</w:t>
            </w:r>
          </w:p>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综合考虑卖方违约行为对买方造成的损害严重性或处理紧迫性，以及卖方处理违约行为的态度与质量，买方可视情形向卖方发出限期解除合同的通知，通知形式包括向卖方合同签署联系人发出的录音通话、电子邮件、传真、约谈函件等。卖方在限定期限内拒不配合解除合同的，买方可单方解除合同。</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2021年度新增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14.6</w:t>
            </w: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卖方所承担的违约责任，包括但不限于因卖方原因造成的买方电量损失、电网设备维修费、人身伤害补偿等，买方有权就损失对卖方的违约责任进行追偿。</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2022年3月新增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14.7</w:t>
            </w: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卖方同意买方按照货物交付时正在执行的《国家电网有限公司供应商不良行为处理管理细则》进行相应的不良行为处理。</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2022年3月新增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14.8</w:t>
            </w: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卖方擅自更换组部件的，除按照国网公司相关制度开展不良行为处理之外，卖方还须向买方支付到货的“整体货物”金额3%-10%的违约金。</w:t>
            </w:r>
          </w:p>
        </w:tc>
        <w:tc>
          <w:tcPr>
            <w:tcW w:w="1640" w:type="dxa"/>
            <w:vAlign w:val="center"/>
          </w:tcPr>
          <w:p>
            <w:pPr>
              <w:widowControl/>
              <w:jc w:val="center"/>
              <w:rPr>
                <w:rFonts w:hint="eastAsia" w:ascii="仿宋" w:hAnsi="仿宋" w:eastAsia="仿宋" w:cs="仿宋"/>
                <w:bCs/>
                <w:color w:val="auto"/>
                <w:sz w:val="28"/>
                <w:szCs w:val="28"/>
                <w:lang w:eastAsia="zh-CN"/>
              </w:rPr>
            </w:pPr>
            <w:r>
              <w:rPr>
                <w:rFonts w:hint="eastAsia" w:ascii="仿宋" w:hAnsi="仿宋" w:eastAsia="仿宋" w:cs="仿宋"/>
                <w:color w:val="auto"/>
                <w:sz w:val="28"/>
                <w:szCs w:val="28"/>
                <w:lang w:eastAsia="zh-CN"/>
              </w:rPr>
              <w:t>2022年3月新增，2022年10月修订。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14.9</w:t>
            </w:r>
          </w:p>
        </w:tc>
        <w:tc>
          <w:tcPr>
            <w:tcW w:w="4650" w:type="dxa"/>
          </w:tcPr>
          <w:p>
            <w:pPr>
              <w:spacing w:line="50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在未形成正式的变更后的合同之前，买方按照变更前的合同进行验收。若发现与变更前的合同约定不一致的货物，则视为卖方擅自更换合同约定或投标文件承诺的货物、原材料、组部件，并按相关规定追究违约责任</w:t>
            </w:r>
          </w:p>
        </w:tc>
        <w:tc>
          <w:tcPr>
            <w:tcW w:w="1640" w:type="dxa"/>
            <w:vAlign w:val="center"/>
          </w:tcPr>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14.10</w:t>
            </w:r>
          </w:p>
        </w:tc>
        <w:tc>
          <w:tcPr>
            <w:tcW w:w="4650" w:type="dxa"/>
          </w:tcPr>
          <w:p>
            <w:pPr>
              <w:spacing w:line="50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（新增）卖方未按照第5.4.12条约定交付货物，造成货物检测不合格的后果，由卖方承担，并按相关规定追究违约责任。</w:t>
            </w:r>
          </w:p>
        </w:tc>
        <w:tc>
          <w:tcPr>
            <w:tcW w:w="1640" w:type="dxa"/>
            <w:vAlign w:val="center"/>
          </w:tcPr>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14.11</w:t>
            </w:r>
          </w:p>
        </w:tc>
        <w:tc>
          <w:tcPr>
            <w:tcW w:w="4650" w:type="dxa"/>
          </w:tcPr>
          <w:p>
            <w:pPr>
              <w:spacing w:line="50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（新增）卖方未按照第5.4.13条约定交付“友好货物”，由卖方向买方于10个工作日内支付“不友好货物”金额3%的违约金，并于10个工作日内更换为“友好货物”。</w:t>
            </w:r>
          </w:p>
          <w:p>
            <w:pPr>
              <w:pStyle w:val="12"/>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若卖方未按期支付违约金或更换货物，则视为“卖方在履约过程中不配合业主单位工作的”，并按国网公司相关制度开展不良行为处理。</w:t>
            </w:r>
          </w:p>
        </w:tc>
        <w:tc>
          <w:tcPr>
            <w:tcW w:w="1640" w:type="dxa"/>
            <w:vAlign w:val="center"/>
          </w:tcPr>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14.12</w:t>
            </w: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（新增）若卖方未能按照第5.4.14条约定按时交付货物，由卖方承担违约责任。</w:t>
            </w:r>
          </w:p>
          <w:p>
            <w:pPr>
              <w:pStyle w:val="12"/>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因卖方的原材料和组部件提供商对卖方延迟交货，引起卖方向买方延迟交货的，由卖方承担向买方延迟交货的责任。</w:t>
            </w:r>
          </w:p>
          <w:p>
            <w:pPr>
              <w:pStyle w:val="12"/>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因卖方注册地、货物生产地、和买方收货地发生疫情的，可按照以下方式减轻对卖方延迟交货天数的认定：若卖方注册地或货物生产地（指地市级区域内）和收货目的地（指地市级区域内）在订单签署日期至货物交付日期之间发生疫情（以“国家政务服务平台”上“全国中高风险疫情地区”公布的中、高风险等级的地区清单为准）的，则交货期可按照采购供货单计算出的交货天数再增加国家公布和取消相关地域疫情中高风险等级之间的天数。</w:t>
            </w:r>
          </w:p>
        </w:tc>
        <w:tc>
          <w:tcPr>
            <w:tcW w:w="1640"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14.13</w:t>
            </w:r>
          </w:p>
        </w:tc>
        <w:tc>
          <w:tcPr>
            <w:tcW w:w="4650" w:type="dxa"/>
          </w:tcPr>
          <w:p>
            <w:pPr>
              <w:spacing w:line="50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（新增）卖方未按照第5.4.15条约定交付“整体货物”，由卖方承担向买方延迟交货的责任。</w:t>
            </w:r>
          </w:p>
        </w:tc>
        <w:tc>
          <w:tcPr>
            <w:tcW w:w="1640" w:type="dxa"/>
            <w:vAlign w:val="center"/>
          </w:tcPr>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spacing w:line="50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14.14</w:t>
            </w:r>
          </w:p>
        </w:tc>
        <w:tc>
          <w:tcPr>
            <w:tcW w:w="4650" w:type="dxa"/>
          </w:tcPr>
          <w:p>
            <w:pPr>
              <w:spacing w:line="50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（新增）卖方未按照第5.4.16条明确的时间和地点交付货物的，视为“卖方在履约过程中不配合业主单位工作的”，并按国网公司相关制度开展不良行为处理。</w:t>
            </w:r>
          </w:p>
        </w:tc>
        <w:tc>
          <w:tcPr>
            <w:tcW w:w="1640" w:type="dxa"/>
            <w:vAlign w:val="center"/>
          </w:tcPr>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14.15</w:t>
            </w:r>
          </w:p>
        </w:tc>
        <w:tc>
          <w:tcPr>
            <w:tcW w:w="4650" w:type="dxa"/>
            <w:vAlign w:val="center"/>
          </w:tcPr>
          <w:p>
            <w:pPr>
              <w:spacing w:line="500" w:lineRule="exact"/>
              <w:ind w:firstLine="536" w:firstLineChars="200"/>
              <w:rPr>
                <w:rFonts w:hint="eastAsia" w:ascii="仿宋" w:hAnsi="仿宋" w:eastAsia="仿宋" w:cs="仿宋"/>
                <w:color w:val="auto"/>
                <w:sz w:val="28"/>
                <w:szCs w:val="28"/>
                <w:lang w:eastAsia="zh-CN"/>
              </w:rPr>
            </w:pPr>
            <w:r>
              <w:rPr>
                <w:rFonts w:hint="eastAsia" w:ascii="仿宋" w:hAnsi="仿宋" w:eastAsia="仿宋" w:cs="仿宋"/>
                <w:snapToGrid w:val="0"/>
                <w:color w:val="auto"/>
                <w:spacing w:val="-6"/>
                <w:sz w:val="28"/>
                <w:szCs w:val="28"/>
                <w:lang w:eastAsia="zh-CN"/>
              </w:rPr>
              <w:t>（新增）若卖方在货物出厂前未把所交付货物的所有“云监造”数据上传到EIP，</w:t>
            </w:r>
            <w:r>
              <w:rPr>
                <w:rFonts w:hint="eastAsia" w:ascii="仿宋" w:hAnsi="仿宋" w:eastAsia="仿宋" w:cs="仿宋"/>
                <w:color w:val="auto"/>
                <w:sz w:val="28"/>
                <w:szCs w:val="28"/>
                <w:lang w:eastAsia="zh-CN"/>
              </w:rPr>
              <w:t>由卖方向买方于“发货通知”中的发货日期后10个工作日内买方支付每条1000元人民币的合同违约金，并于收到买方“云监造”单位整改通知书10个工作日内完成整改。</w:t>
            </w:r>
          </w:p>
        </w:tc>
        <w:tc>
          <w:tcPr>
            <w:tcW w:w="1640" w:type="dxa"/>
            <w:vAlign w:val="center"/>
          </w:tcPr>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违约</w:t>
            </w:r>
          </w:p>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责任</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14.16</w:t>
            </w:r>
          </w:p>
        </w:tc>
        <w:tc>
          <w:tcPr>
            <w:tcW w:w="4650" w:type="dxa"/>
            <w:vAlign w:val="center"/>
          </w:tcPr>
          <w:p>
            <w:pPr>
              <w:spacing w:line="50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新增）若卖方把“云监造”《物资制造质量档案报告》中的“综合评分”低于90分的货物出厂并交付买方的，买方可拒收货物，同时视为“卖方在履约过程中不配合业主单位工作的”，并按国网公司相关制度开展不良行为处理。</w:t>
            </w:r>
          </w:p>
        </w:tc>
        <w:tc>
          <w:tcPr>
            <w:tcW w:w="1640" w:type="dxa"/>
            <w:vAlign w:val="center"/>
          </w:tcPr>
          <w:p>
            <w:pPr>
              <w:spacing w:line="500" w:lineRule="exact"/>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81"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合同的变更</w:t>
            </w:r>
          </w:p>
        </w:tc>
        <w:tc>
          <w:tcPr>
            <w:tcW w:w="1605" w:type="dxa"/>
            <w:vAlign w:val="center"/>
          </w:tcPr>
          <w:p>
            <w:pPr>
              <w:adjustRightInd w:val="0"/>
              <w:snapToGrid w:val="0"/>
              <w:spacing w:line="480" w:lineRule="exact"/>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20.4</w:t>
            </w:r>
          </w:p>
        </w:tc>
        <w:tc>
          <w:tcPr>
            <w:tcW w:w="4650" w:type="dxa"/>
          </w:tcPr>
          <w:p>
            <w:pPr>
              <w:widowControl/>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双方在物资合同履行过程中达成的协议、纪要等文件，若引起组部件制造商品牌、组部件规格型号等变更的，须以合同变更（技术变更单、商务变更、补充协议）的形式明确变更内容。</w:t>
            </w:r>
          </w:p>
        </w:tc>
        <w:tc>
          <w:tcPr>
            <w:tcW w:w="1640" w:type="dxa"/>
            <w:vAlign w:val="center"/>
          </w:tcPr>
          <w:p>
            <w:pPr>
              <w:widowControl/>
              <w:jc w:val="center"/>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2022年3月新增</w:t>
            </w:r>
          </w:p>
        </w:tc>
      </w:tr>
    </w:tbl>
    <w:p>
      <w:pPr>
        <w:rPr>
          <w:color w:val="auto"/>
          <w:lang w:eastAsia="zh-CN"/>
        </w:rPr>
      </w:pPr>
    </w:p>
    <w:p>
      <w:pPr>
        <w:ind w:firstLine="560" w:firstLineChars="200"/>
        <w:rPr>
          <w:rFonts w:ascii="仿宋" w:hAnsi="仿宋" w:eastAsia="仿宋"/>
          <w:color w:val="auto"/>
          <w:sz w:val="28"/>
          <w:szCs w:val="28"/>
          <w:lang w:eastAsia="zh-CN"/>
        </w:rPr>
      </w:pPr>
      <w:r>
        <w:rPr>
          <w:rFonts w:hint="eastAsia" w:ascii="仿宋" w:hAnsi="仿宋" w:eastAsia="仿宋"/>
          <w:color w:val="auto"/>
          <w:sz w:val="28"/>
          <w:szCs w:val="28"/>
          <w:lang w:eastAsia="zh-CN"/>
        </w:rPr>
        <w:t>（2021年新增，2022年10月修订）针对“10kV变压器、10kV柱上变压器台成套设备、箱式变电站”的到货验收、质量抽检，不良行为处理等增加相应专用合同条款：</w:t>
      </w:r>
    </w:p>
    <w:tbl>
      <w:tblPr>
        <w:tblStyle w:val="34"/>
        <w:tblW w:w="8922" w:type="dxa"/>
        <w:jc w:val="center"/>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323"/>
        <w:gridCol w:w="6748"/>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851" w:type="dxa"/>
            <w:vAlign w:val="center"/>
          </w:tcPr>
          <w:p>
            <w:pPr>
              <w:adjustRightInd w:val="0"/>
              <w:snapToGrid w:val="0"/>
              <w:spacing w:line="16" w:lineRule="atLeast"/>
              <w:jc w:val="center"/>
              <w:rPr>
                <w:rFonts w:ascii="方正仿宋_GBK" w:eastAsia="方正仿宋_GBK"/>
                <w:b/>
                <w:color w:val="auto"/>
                <w:sz w:val="28"/>
                <w:szCs w:val="28"/>
              </w:rPr>
            </w:pPr>
            <w:r>
              <w:rPr>
                <w:rFonts w:hint="eastAsia" w:ascii="方正仿宋_GBK" w:eastAsia="方正仿宋_GBK"/>
                <w:b/>
                <w:color w:val="auto"/>
                <w:sz w:val="28"/>
                <w:szCs w:val="28"/>
              </w:rPr>
              <w:t>合同事项</w:t>
            </w:r>
          </w:p>
        </w:tc>
        <w:tc>
          <w:tcPr>
            <w:tcW w:w="1323" w:type="dxa"/>
            <w:vAlign w:val="center"/>
          </w:tcPr>
          <w:p>
            <w:pPr>
              <w:adjustRightInd w:val="0"/>
              <w:snapToGrid w:val="0"/>
              <w:spacing w:line="16" w:lineRule="atLeast"/>
              <w:jc w:val="center"/>
              <w:rPr>
                <w:rFonts w:ascii="方正仿宋_GBK" w:eastAsia="方正仿宋_GBK"/>
                <w:b/>
                <w:color w:val="auto"/>
                <w:sz w:val="28"/>
                <w:szCs w:val="28"/>
              </w:rPr>
            </w:pPr>
            <w:r>
              <w:rPr>
                <w:rFonts w:hint="eastAsia" w:ascii="方正仿宋_GBK" w:eastAsia="方正仿宋_GBK"/>
                <w:b/>
                <w:color w:val="auto"/>
                <w:sz w:val="28"/>
                <w:szCs w:val="28"/>
              </w:rPr>
              <w:t>条款项号</w:t>
            </w:r>
          </w:p>
        </w:tc>
        <w:tc>
          <w:tcPr>
            <w:tcW w:w="6748" w:type="dxa"/>
            <w:vAlign w:val="center"/>
          </w:tcPr>
          <w:p>
            <w:pPr>
              <w:adjustRightInd w:val="0"/>
              <w:snapToGrid w:val="0"/>
              <w:spacing w:line="16" w:lineRule="atLeast"/>
              <w:jc w:val="center"/>
              <w:rPr>
                <w:rFonts w:ascii="方正仿宋_GBK" w:eastAsia="方正仿宋_GBK"/>
                <w:b/>
                <w:color w:val="auto"/>
                <w:sz w:val="28"/>
                <w:szCs w:val="28"/>
              </w:rPr>
            </w:pPr>
            <w:r>
              <w:rPr>
                <w:rFonts w:hint="eastAsia" w:ascii="方正仿宋_GBK" w:eastAsia="方正仿宋_GBK"/>
                <w:b/>
                <w:color w:val="auto"/>
                <w:sz w:val="28"/>
                <w:szCs w:val="28"/>
              </w:rPr>
              <w:t>约定内容</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1" w:type="dxa"/>
            <w:vAlign w:val="center"/>
          </w:tcPr>
          <w:p>
            <w:pPr>
              <w:spacing w:line="16" w:lineRule="atLeast"/>
              <w:jc w:val="center"/>
              <w:rPr>
                <w:rFonts w:ascii="方正仿宋_GBK" w:eastAsia="方正仿宋_GBK"/>
                <w:color w:val="auto"/>
                <w:sz w:val="28"/>
                <w:szCs w:val="28"/>
              </w:rPr>
            </w:pPr>
            <w:r>
              <w:rPr>
                <w:rFonts w:hint="eastAsia" w:ascii="方正仿宋_GBK" w:eastAsia="方正仿宋_GBK"/>
                <w:color w:val="auto"/>
                <w:sz w:val="28"/>
                <w:szCs w:val="28"/>
              </w:rPr>
              <w:t>1</w:t>
            </w:r>
          </w:p>
        </w:tc>
        <w:tc>
          <w:tcPr>
            <w:tcW w:w="1323" w:type="dxa"/>
            <w:vAlign w:val="center"/>
          </w:tcPr>
          <w:p>
            <w:pPr>
              <w:spacing w:line="16" w:lineRule="atLeast"/>
              <w:jc w:val="center"/>
              <w:rPr>
                <w:rFonts w:hint="eastAsia" w:ascii="方正仿宋_GBK" w:eastAsia="方正仿宋_GBK"/>
                <w:color w:val="auto"/>
                <w:sz w:val="28"/>
                <w:szCs w:val="28"/>
                <w:lang w:eastAsia="zh-CN"/>
              </w:rPr>
            </w:pPr>
            <w:r>
              <w:rPr>
                <w:rFonts w:hint="eastAsia" w:ascii="方正仿宋_GBK" w:eastAsia="方正仿宋_GBK"/>
                <w:color w:val="auto"/>
                <w:sz w:val="28"/>
                <w:szCs w:val="28"/>
              </w:rPr>
              <w:t>4.2.5</w:t>
            </w:r>
            <w:r>
              <w:rPr>
                <w:rFonts w:hint="eastAsia" w:ascii="方正仿宋_GBK" w:eastAsia="方正仿宋_GBK"/>
                <w:color w:val="auto"/>
                <w:sz w:val="28"/>
                <w:szCs w:val="28"/>
                <w:lang w:eastAsia="zh-CN"/>
              </w:rPr>
              <w:t>.5</w:t>
            </w:r>
          </w:p>
        </w:tc>
        <w:tc>
          <w:tcPr>
            <w:tcW w:w="6748" w:type="dxa"/>
          </w:tcPr>
          <w:p>
            <w:pPr>
              <w:widowControl/>
              <w:ind w:firstLine="560" w:firstLineChars="200"/>
              <w:rPr>
                <w:rFonts w:hint="eastAsia" w:ascii="仿宋" w:hAnsi="仿宋" w:eastAsia="仿宋"/>
                <w:color w:val="auto"/>
                <w:sz w:val="28"/>
                <w:szCs w:val="28"/>
                <w:lang w:eastAsia="zh-CN"/>
              </w:rPr>
            </w:pPr>
            <w:r>
              <w:rPr>
                <w:rFonts w:hint="eastAsia" w:ascii="仿宋" w:hAnsi="仿宋" w:eastAsia="仿宋"/>
                <w:color w:val="auto"/>
                <w:sz w:val="28"/>
                <w:szCs w:val="28"/>
                <w:lang w:eastAsia="zh-CN"/>
              </w:rPr>
              <w:t>买方有权对卖方所供的货物进行逐台（套、盘）检测，并根据检测结果按照合同相关约定执行。”</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1" w:type="dxa"/>
            <w:vAlign w:val="center"/>
          </w:tcPr>
          <w:p>
            <w:pPr>
              <w:spacing w:line="16" w:lineRule="atLeast"/>
              <w:jc w:val="center"/>
              <w:rPr>
                <w:rFonts w:ascii="方正仿宋_GBK" w:eastAsia="方正仿宋_GBK"/>
                <w:color w:val="auto"/>
                <w:sz w:val="28"/>
                <w:szCs w:val="28"/>
              </w:rPr>
            </w:pPr>
            <w:r>
              <w:rPr>
                <w:rFonts w:hint="eastAsia" w:ascii="方正仿宋_GBK" w:eastAsia="方正仿宋_GBK"/>
                <w:color w:val="auto"/>
                <w:sz w:val="28"/>
                <w:szCs w:val="28"/>
              </w:rPr>
              <w:t>2</w:t>
            </w:r>
          </w:p>
        </w:tc>
        <w:tc>
          <w:tcPr>
            <w:tcW w:w="1323" w:type="dxa"/>
            <w:vAlign w:val="center"/>
          </w:tcPr>
          <w:p>
            <w:pPr>
              <w:spacing w:line="16" w:lineRule="atLeast"/>
              <w:jc w:val="center"/>
              <w:rPr>
                <w:rFonts w:ascii="方正仿宋_GBK" w:eastAsia="方正仿宋_GBK"/>
                <w:color w:val="auto"/>
                <w:sz w:val="28"/>
                <w:szCs w:val="28"/>
              </w:rPr>
            </w:pPr>
            <w:r>
              <w:rPr>
                <w:rFonts w:hint="eastAsia" w:ascii="方正仿宋_GBK" w:eastAsia="方正仿宋_GBK"/>
                <w:color w:val="auto"/>
                <w:sz w:val="28"/>
                <w:szCs w:val="28"/>
              </w:rPr>
              <w:t xml:space="preserve">4.2.6 </w:t>
            </w:r>
          </w:p>
        </w:tc>
        <w:tc>
          <w:tcPr>
            <w:tcW w:w="6748" w:type="dxa"/>
          </w:tcPr>
          <w:p>
            <w:pPr>
              <w:widowControl/>
              <w:ind w:firstLine="560" w:firstLineChars="200"/>
              <w:rPr>
                <w:rFonts w:hint="eastAsia" w:ascii="仿宋" w:hAnsi="仿宋" w:eastAsia="仿宋"/>
                <w:color w:val="auto"/>
                <w:sz w:val="28"/>
                <w:szCs w:val="28"/>
                <w:lang w:eastAsia="zh-CN"/>
              </w:rPr>
            </w:pPr>
            <w:r>
              <w:rPr>
                <w:rFonts w:hint="eastAsia" w:ascii="仿宋" w:hAnsi="仿宋" w:eastAsia="仿宋"/>
                <w:color w:val="auto"/>
                <w:sz w:val="28"/>
                <w:szCs w:val="28"/>
                <w:lang w:eastAsia="zh-CN"/>
              </w:rPr>
              <w:t>卖方应按照招标文件要求提供满足要求的型式试验报告，对无法按时提供报告或者提供的报告不满足要求的，买方暂停对应型号变压器协议库存匹配。若卖方在合同签订后60天内，仍无法按时提供上述报告或者提供的报告不满足要求的，买方有权解除合同且解除后该合同对应的份额不再匹配，同时卖方应按合同条款或其他约定承担违约责任。”</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1" w:type="dxa"/>
            <w:vAlign w:val="center"/>
          </w:tcPr>
          <w:p>
            <w:pPr>
              <w:spacing w:line="16" w:lineRule="atLeast"/>
              <w:jc w:val="center"/>
              <w:rPr>
                <w:rFonts w:hint="eastAsia" w:ascii="方正仿宋_GBK" w:eastAsia="方正仿宋_GBK"/>
                <w:color w:val="auto"/>
                <w:sz w:val="28"/>
                <w:szCs w:val="28"/>
                <w:lang w:eastAsia="zh-CN"/>
              </w:rPr>
            </w:pPr>
            <w:r>
              <w:rPr>
                <w:rFonts w:hint="eastAsia" w:ascii="方正仿宋_GBK" w:eastAsia="方正仿宋_GBK"/>
                <w:color w:val="auto"/>
                <w:sz w:val="28"/>
                <w:szCs w:val="28"/>
                <w:lang w:eastAsia="zh-CN"/>
              </w:rPr>
              <w:t>3</w:t>
            </w:r>
          </w:p>
        </w:tc>
        <w:tc>
          <w:tcPr>
            <w:tcW w:w="1323" w:type="dxa"/>
            <w:vAlign w:val="center"/>
          </w:tcPr>
          <w:p>
            <w:pPr>
              <w:spacing w:line="16" w:lineRule="atLeast"/>
              <w:jc w:val="center"/>
              <w:rPr>
                <w:rFonts w:ascii="方正仿宋_GBK" w:eastAsia="方正仿宋_GBK"/>
                <w:color w:val="auto"/>
                <w:sz w:val="28"/>
                <w:szCs w:val="28"/>
              </w:rPr>
            </w:pPr>
            <w:r>
              <w:rPr>
                <w:rFonts w:hint="eastAsia" w:ascii="方正仿宋_GBK" w:eastAsia="方正仿宋_GBK"/>
                <w:color w:val="auto"/>
                <w:sz w:val="28"/>
                <w:szCs w:val="28"/>
              </w:rPr>
              <w:t>14.6</w:t>
            </w:r>
          </w:p>
        </w:tc>
        <w:tc>
          <w:tcPr>
            <w:tcW w:w="6748" w:type="dxa"/>
          </w:tcPr>
          <w:p>
            <w:pPr>
              <w:widowControl/>
              <w:ind w:firstLine="560" w:firstLineChars="200"/>
              <w:rPr>
                <w:rFonts w:hint="eastAsia" w:ascii="仿宋" w:hAnsi="仿宋" w:eastAsia="仿宋"/>
                <w:color w:val="auto"/>
                <w:sz w:val="28"/>
                <w:szCs w:val="28"/>
                <w:lang w:eastAsia="zh-CN"/>
              </w:rPr>
            </w:pPr>
            <w:r>
              <w:rPr>
                <w:rFonts w:hint="eastAsia" w:ascii="仿宋" w:hAnsi="仿宋" w:eastAsia="仿宋"/>
                <w:color w:val="auto"/>
                <w:sz w:val="28"/>
                <w:szCs w:val="28"/>
                <w:lang w:eastAsia="zh-CN"/>
              </w:rPr>
              <w:t>对于耽误工期、未提供报告、不能及时更换、维修、补救等不按照合同整改的，买方将视为《国家电网有限公司供应商不良行为处理管理细则》中的“不配合业主单位整改的”情形，并按此情形进行后续的违约处理。</w:t>
            </w:r>
          </w:p>
        </w:tc>
      </w:tr>
    </w:tbl>
    <w:p>
      <w:pPr>
        <w:widowControl/>
        <w:rPr>
          <w:rFonts w:ascii="Times New Roman" w:hAnsi="Times New Roman"/>
          <w:color w:val="auto"/>
          <w:sz w:val="17"/>
          <w:szCs w:val="17"/>
          <w:lang w:eastAsia="zh-CN"/>
        </w:rPr>
      </w:pPr>
    </w:p>
    <w:p>
      <w:pPr>
        <w:widowControl/>
        <w:rPr>
          <w:rFonts w:ascii="Times New Roman" w:hAnsi="Times New Roman"/>
          <w:color w:val="auto"/>
          <w:sz w:val="17"/>
          <w:szCs w:val="17"/>
          <w:lang w:eastAsia="zh-CN"/>
        </w:rPr>
      </w:pPr>
    </w:p>
    <w:p>
      <w:pPr>
        <w:ind w:firstLine="560" w:firstLineChars="200"/>
        <w:rPr>
          <w:rFonts w:hint="eastAsia" w:ascii="仿宋" w:hAnsi="仿宋" w:eastAsia="仿宋"/>
          <w:color w:val="auto"/>
          <w:sz w:val="28"/>
          <w:szCs w:val="28"/>
          <w:lang w:eastAsia="zh-CN"/>
        </w:rPr>
      </w:pPr>
    </w:p>
    <w:p>
      <w:pPr>
        <w:ind w:firstLine="560" w:firstLineChars="200"/>
        <w:rPr>
          <w:rFonts w:hint="eastAsia" w:ascii="仿宋" w:hAnsi="仿宋" w:eastAsia="仿宋"/>
          <w:color w:val="auto"/>
          <w:sz w:val="28"/>
          <w:szCs w:val="28"/>
          <w:lang w:eastAsia="zh-CN"/>
        </w:rPr>
      </w:pPr>
      <w:r>
        <w:rPr>
          <w:rFonts w:hint="eastAsia" w:ascii="仿宋" w:hAnsi="仿宋" w:eastAsia="仿宋"/>
          <w:color w:val="auto"/>
          <w:sz w:val="28"/>
          <w:szCs w:val="28"/>
          <w:lang w:eastAsia="zh-CN"/>
        </w:rPr>
        <w:t>（2021年新增，2022年10月修订）对于配电变压器、避雷器、高压开关柜、箱式变电站、环网柜、柱上开关、绝缘子类产品抽检项目下：</w:t>
      </w:r>
    </w:p>
    <w:tbl>
      <w:tblPr>
        <w:tblStyle w:val="34"/>
        <w:tblW w:w="8922" w:type="dxa"/>
        <w:jc w:val="center"/>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323"/>
        <w:gridCol w:w="6748"/>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851" w:type="dxa"/>
            <w:vAlign w:val="center"/>
          </w:tcPr>
          <w:p>
            <w:pPr>
              <w:adjustRightInd w:val="0"/>
              <w:snapToGrid w:val="0"/>
              <w:spacing w:line="16" w:lineRule="atLeast"/>
              <w:jc w:val="center"/>
              <w:rPr>
                <w:rFonts w:ascii="方正仿宋_GBK" w:eastAsia="方正仿宋_GBK"/>
                <w:b/>
                <w:color w:val="auto"/>
                <w:sz w:val="24"/>
                <w:szCs w:val="24"/>
              </w:rPr>
            </w:pPr>
            <w:r>
              <w:rPr>
                <w:rFonts w:hint="eastAsia" w:ascii="方正仿宋_GBK" w:eastAsia="方正仿宋_GBK"/>
                <w:b/>
                <w:color w:val="auto"/>
                <w:sz w:val="24"/>
                <w:szCs w:val="24"/>
              </w:rPr>
              <w:t>合同事项</w:t>
            </w:r>
          </w:p>
        </w:tc>
        <w:tc>
          <w:tcPr>
            <w:tcW w:w="1323" w:type="dxa"/>
            <w:vAlign w:val="center"/>
          </w:tcPr>
          <w:p>
            <w:pPr>
              <w:adjustRightInd w:val="0"/>
              <w:snapToGrid w:val="0"/>
              <w:spacing w:line="16" w:lineRule="atLeast"/>
              <w:jc w:val="center"/>
              <w:rPr>
                <w:rFonts w:ascii="方正仿宋_GBK" w:eastAsia="方正仿宋_GBK"/>
                <w:b/>
                <w:color w:val="auto"/>
                <w:sz w:val="24"/>
                <w:szCs w:val="24"/>
              </w:rPr>
            </w:pPr>
            <w:r>
              <w:rPr>
                <w:rFonts w:hint="eastAsia" w:ascii="方正仿宋_GBK" w:eastAsia="方正仿宋_GBK"/>
                <w:b/>
                <w:color w:val="auto"/>
                <w:sz w:val="24"/>
                <w:szCs w:val="24"/>
              </w:rPr>
              <w:t>条款项号</w:t>
            </w:r>
          </w:p>
        </w:tc>
        <w:tc>
          <w:tcPr>
            <w:tcW w:w="6748" w:type="dxa"/>
            <w:vAlign w:val="center"/>
          </w:tcPr>
          <w:p>
            <w:pPr>
              <w:adjustRightInd w:val="0"/>
              <w:snapToGrid w:val="0"/>
              <w:spacing w:line="16" w:lineRule="atLeast"/>
              <w:jc w:val="center"/>
              <w:rPr>
                <w:rFonts w:ascii="方正仿宋_GBK" w:eastAsia="方正仿宋_GBK"/>
                <w:b/>
                <w:color w:val="auto"/>
                <w:sz w:val="24"/>
                <w:szCs w:val="24"/>
              </w:rPr>
            </w:pPr>
            <w:r>
              <w:rPr>
                <w:rFonts w:hint="eastAsia" w:ascii="方正仿宋_GBK" w:eastAsia="方正仿宋_GBK"/>
                <w:b/>
                <w:color w:val="auto"/>
                <w:sz w:val="24"/>
                <w:szCs w:val="24"/>
              </w:rPr>
              <w:t>约定内容</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1" w:type="dxa"/>
            <w:vAlign w:val="center"/>
          </w:tcPr>
          <w:p>
            <w:pPr>
              <w:spacing w:line="16" w:lineRule="atLeast"/>
              <w:jc w:val="center"/>
              <w:rPr>
                <w:rFonts w:hint="eastAsia" w:ascii="仿宋" w:hAnsi="仿宋" w:eastAsia="仿宋" w:cs="仿宋"/>
                <w:color w:val="auto"/>
                <w:sz w:val="28"/>
                <w:szCs w:val="28"/>
              </w:rPr>
            </w:pPr>
            <w:r>
              <w:rPr>
                <w:rFonts w:hint="eastAsia" w:ascii="仿宋" w:hAnsi="仿宋" w:eastAsia="仿宋" w:cs="仿宋"/>
                <w:color w:val="auto"/>
                <w:sz w:val="28"/>
                <w:szCs w:val="28"/>
              </w:rPr>
              <w:t>1</w:t>
            </w:r>
          </w:p>
        </w:tc>
        <w:tc>
          <w:tcPr>
            <w:tcW w:w="1323" w:type="dxa"/>
            <w:vAlign w:val="center"/>
          </w:tcPr>
          <w:p>
            <w:pPr>
              <w:spacing w:line="16" w:lineRule="atLeast"/>
              <w:jc w:val="center"/>
              <w:rPr>
                <w:rFonts w:hint="eastAsia" w:ascii="仿宋" w:hAnsi="仿宋" w:eastAsia="仿宋" w:cs="仿宋"/>
                <w:color w:val="auto"/>
                <w:sz w:val="28"/>
                <w:szCs w:val="28"/>
              </w:rPr>
            </w:pPr>
            <w:r>
              <w:rPr>
                <w:rFonts w:hint="eastAsia" w:ascii="仿宋" w:hAnsi="仿宋" w:eastAsia="仿宋" w:cs="仿宋"/>
                <w:color w:val="auto"/>
                <w:sz w:val="28"/>
                <w:szCs w:val="28"/>
              </w:rPr>
              <w:t>4.2.5</w:t>
            </w:r>
          </w:p>
        </w:tc>
        <w:tc>
          <w:tcPr>
            <w:tcW w:w="6748" w:type="dxa"/>
          </w:tcPr>
          <w:p>
            <w:pPr>
              <w:adjustRightInd w:val="0"/>
              <w:snapToGrid w:val="0"/>
              <w:rPr>
                <w:rFonts w:ascii="仿宋" w:hAnsi="仿宋" w:eastAsia="仿宋" w:cs="仿宋"/>
                <w:color w:val="auto"/>
                <w:sz w:val="28"/>
                <w:szCs w:val="28"/>
                <w:lang w:eastAsia="zh-CN"/>
              </w:rPr>
            </w:pPr>
            <w:r>
              <w:rPr>
                <w:rFonts w:hint="eastAsia" w:ascii="仿宋" w:hAnsi="仿宋" w:eastAsia="仿宋" w:cs="仿宋"/>
                <w:color w:val="auto"/>
                <w:sz w:val="28"/>
                <w:szCs w:val="28"/>
                <w:lang w:eastAsia="zh-CN"/>
              </w:rPr>
              <w:t xml:space="preserve">   买方在每个供货自然年度内，需对前述抽检到的产品进行1次破坏性试验，对其产品造成损坏的，卖方需无偿更换与损坏数量相等的同类产品，并自行取回损坏产品。卖方在投标时的投标报价应包括1次破坏性试验所造成的损坏货物的无偿更换与自行取回等费用。特殊物资的破坏性试验次数和费用另行规定。</w:t>
            </w:r>
          </w:p>
        </w:tc>
      </w:tr>
    </w:tbl>
    <w:p>
      <w:pPr>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（2022年10月新增）对于JP柜（含1</w:t>
      </w:r>
      <w:r>
        <w:rPr>
          <w:rFonts w:ascii="仿宋" w:hAnsi="仿宋" w:eastAsia="仿宋" w:cs="仿宋"/>
          <w:color w:val="auto"/>
          <w:sz w:val="28"/>
          <w:szCs w:val="28"/>
          <w:lang w:eastAsia="zh-CN"/>
        </w:rPr>
        <w:t>0</w:t>
      </w:r>
      <w:r>
        <w:rPr>
          <w:rFonts w:hint="eastAsia" w:ascii="仿宋" w:hAnsi="仿宋" w:eastAsia="仿宋" w:cs="仿宋"/>
          <w:color w:val="auto"/>
          <w:sz w:val="28"/>
          <w:szCs w:val="28"/>
          <w:lang w:eastAsia="zh-CN"/>
        </w:rPr>
        <w:t>kV柱上变压器台成套设备中的JP柜）、（0.4和10千伏）电缆分支箱、电缆保护管的抽检项目下：</w:t>
      </w:r>
    </w:p>
    <w:tbl>
      <w:tblPr>
        <w:tblStyle w:val="34"/>
        <w:tblW w:w="8922" w:type="dxa"/>
        <w:jc w:val="center"/>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323"/>
        <w:gridCol w:w="6748"/>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851" w:type="dxa"/>
            <w:vAlign w:val="center"/>
          </w:tcPr>
          <w:p>
            <w:pPr>
              <w:adjustRightInd w:val="0"/>
              <w:snapToGrid w:val="0"/>
              <w:spacing w:line="16" w:lineRule="atLeast"/>
              <w:jc w:val="center"/>
              <w:rPr>
                <w:rFonts w:hint="eastAsia" w:ascii="仿宋" w:hAnsi="仿宋" w:eastAsia="仿宋" w:cs="仿宋"/>
                <w:b/>
                <w:color w:val="auto"/>
                <w:sz w:val="28"/>
                <w:szCs w:val="28"/>
              </w:rPr>
            </w:pPr>
            <w:r>
              <w:rPr>
                <w:rFonts w:hint="eastAsia" w:ascii="仿宋" w:hAnsi="仿宋" w:eastAsia="仿宋" w:cs="仿宋"/>
                <w:b/>
                <w:color w:val="auto"/>
                <w:sz w:val="28"/>
                <w:szCs w:val="28"/>
              </w:rPr>
              <w:t>合同事项</w:t>
            </w:r>
          </w:p>
        </w:tc>
        <w:tc>
          <w:tcPr>
            <w:tcW w:w="1323" w:type="dxa"/>
            <w:vAlign w:val="center"/>
          </w:tcPr>
          <w:p>
            <w:pPr>
              <w:adjustRightInd w:val="0"/>
              <w:snapToGrid w:val="0"/>
              <w:spacing w:line="16" w:lineRule="atLeast"/>
              <w:jc w:val="center"/>
              <w:rPr>
                <w:rFonts w:hint="eastAsia" w:ascii="仿宋" w:hAnsi="仿宋" w:eastAsia="仿宋" w:cs="仿宋"/>
                <w:b/>
                <w:color w:val="auto"/>
                <w:sz w:val="28"/>
                <w:szCs w:val="28"/>
              </w:rPr>
            </w:pPr>
            <w:r>
              <w:rPr>
                <w:rFonts w:hint="eastAsia" w:ascii="仿宋" w:hAnsi="仿宋" w:eastAsia="仿宋" w:cs="仿宋"/>
                <w:b/>
                <w:color w:val="auto"/>
                <w:sz w:val="28"/>
                <w:szCs w:val="28"/>
              </w:rPr>
              <w:t>条款项号</w:t>
            </w:r>
          </w:p>
        </w:tc>
        <w:tc>
          <w:tcPr>
            <w:tcW w:w="6748" w:type="dxa"/>
            <w:vAlign w:val="center"/>
          </w:tcPr>
          <w:p>
            <w:pPr>
              <w:adjustRightInd w:val="0"/>
              <w:snapToGrid w:val="0"/>
              <w:spacing w:line="16" w:lineRule="atLeast"/>
              <w:jc w:val="center"/>
              <w:rPr>
                <w:rFonts w:hint="eastAsia" w:ascii="仿宋" w:hAnsi="仿宋" w:eastAsia="仿宋" w:cs="仿宋"/>
                <w:b/>
                <w:color w:val="auto"/>
                <w:sz w:val="28"/>
                <w:szCs w:val="28"/>
              </w:rPr>
            </w:pPr>
            <w:r>
              <w:rPr>
                <w:rFonts w:hint="eastAsia" w:ascii="仿宋" w:hAnsi="仿宋" w:eastAsia="仿宋" w:cs="仿宋"/>
                <w:b/>
                <w:color w:val="auto"/>
                <w:sz w:val="28"/>
                <w:szCs w:val="28"/>
              </w:rPr>
              <w:t>约定内容</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1" w:type="dxa"/>
            <w:vAlign w:val="center"/>
          </w:tcPr>
          <w:p>
            <w:pPr>
              <w:spacing w:line="16" w:lineRule="atLeast"/>
              <w:jc w:val="center"/>
              <w:rPr>
                <w:rFonts w:hint="eastAsia" w:ascii="仿宋" w:hAnsi="仿宋" w:eastAsia="仿宋" w:cs="仿宋"/>
                <w:color w:val="auto"/>
                <w:sz w:val="28"/>
                <w:szCs w:val="28"/>
              </w:rPr>
            </w:pPr>
            <w:r>
              <w:rPr>
                <w:rFonts w:hint="eastAsia" w:ascii="仿宋" w:hAnsi="仿宋" w:eastAsia="仿宋" w:cs="仿宋"/>
                <w:color w:val="auto"/>
                <w:sz w:val="28"/>
                <w:szCs w:val="28"/>
              </w:rPr>
              <w:t>1</w:t>
            </w:r>
          </w:p>
        </w:tc>
        <w:tc>
          <w:tcPr>
            <w:tcW w:w="1323" w:type="dxa"/>
            <w:vAlign w:val="center"/>
          </w:tcPr>
          <w:p>
            <w:pPr>
              <w:spacing w:line="16" w:lineRule="atLeast"/>
              <w:jc w:val="center"/>
              <w:rPr>
                <w:rFonts w:hint="eastAsia" w:ascii="仿宋" w:hAnsi="仿宋" w:eastAsia="仿宋" w:cs="仿宋"/>
                <w:color w:val="auto"/>
                <w:sz w:val="28"/>
                <w:szCs w:val="28"/>
              </w:rPr>
            </w:pPr>
            <w:r>
              <w:rPr>
                <w:rFonts w:hint="eastAsia" w:ascii="仿宋" w:hAnsi="仿宋" w:eastAsia="仿宋" w:cs="仿宋"/>
                <w:color w:val="auto"/>
                <w:sz w:val="28"/>
                <w:szCs w:val="28"/>
              </w:rPr>
              <w:t>4.2.5</w:t>
            </w:r>
          </w:p>
        </w:tc>
        <w:tc>
          <w:tcPr>
            <w:tcW w:w="6748" w:type="dxa"/>
          </w:tcPr>
          <w:p>
            <w:pPr>
              <w:adjustRightInd w:val="0"/>
              <w:snapToGrid w:val="0"/>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lang w:eastAsia="zh-CN"/>
              </w:rPr>
              <w:t>（增加）招标人在每个供货自然年度内，将对前述产品进行5次破坏性试验，对产品造成损坏的，中标人需无偿更换与试验损坏数量相等的同类产品，自行取回损坏产品并承担相应费用。”</w:t>
            </w:r>
          </w:p>
        </w:tc>
      </w:tr>
    </w:tbl>
    <w:p>
      <w:pPr>
        <w:widowControl/>
        <w:rPr>
          <w:rFonts w:hint="eastAsia" w:ascii="仿宋" w:hAnsi="仿宋" w:eastAsia="仿宋" w:cs="仿宋"/>
          <w:color w:val="auto"/>
          <w:sz w:val="28"/>
          <w:szCs w:val="28"/>
          <w:lang w:eastAsia="zh-CN"/>
        </w:rPr>
      </w:pPr>
    </w:p>
    <w:p>
      <w:pPr>
        <w:widowControl/>
        <w:rPr>
          <w:rFonts w:hint="eastAsia" w:ascii="仿宋" w:hAnsi="仿宋" w:eastAsia="仿宋" w:cs="仿宋"/>
          <w:color w:val="auto"/>
          <w:sz w:val="28"/>
          <w:szCs w:val="28"/>
          <w:lang w:eastAsia="zh-CN"/>
        </w:rPr>
      </w:pPr>
    </w:p>
    <w:p>
      <w:pPr>
        <w:widowControl/>
        <w:rPr>
          <w:rFonts w:hint="eastAsia" w:ascii="仿宋" w:hAnsi="仿宋" w:eastAsia="仿宋" w:cs="仿宋"/>
          <w:color w:val="auto"/>
          <w:sz w:val="28"/>
          <w:szCs w:val="28"/>
          <w:lang w:eastAsia="zh-CN"/>
        </w:rPr>
      </w:pPr>
    </w:p>
    <w:p>
      <w:pPr>
        <w:widowControl/>
        <w:rPr>
          <w:rFonts w:hint="eastAsia" w:ascii="仿宋" w:hAnsi="仿宋" w:eastAsia="仿宋" w:cs="仿宋"/>
          <w:color w:val="auto"/>
          <w:sz w:val="28"/>
          <w:szCs w:val="28"/>
          <w:lang w:eastAsia="zh-CN"/>
        </w:rPr>
      </w:pPr>
    </w:p>
    <w:p>
      <w:pPr>
        <w:spacing w:before="0"/>
        <w:jc w:val="left"/>
        <w:rPr>
          <w:rFonts w:ascii="方正仿宋_GBK" w:hAnsi="方正仿宋_GBK" w:eastAsia="方正仿宋_GBK" w:cs="方正仿宋_GBK"/>
          <w:b w:val="0"/>
          <w:color w:val="000000"/>
          <w:sz w:val="31"/>
          <w:szCs w:val="31"/>
        </w:rPr>
      </w:pPr>
      <w:r>
        <w:rPr>
          <w:color w:val="auto"/>
          <w:lang w:eastAsia="zh-CN"/>
        </w:rPr>
        <w:br w:type="page"/>
      </w:r>
      <w:r>
        <w:rPr>
          <w:color w:val="auto"/>
          <w:lang w:eastAsia="zh-CN"/>
        </w:rPr>
        <w:br w:type="page"/>
      </w:r>
      <w:r>
        <w:rPr>
          <w:rFonts w:hint="default" w:ascii="方正仿宋_GBK" w:hAnsi="方正仿宋_GBK" w:eastAsia="方正仿宋_GBK" w:cs="方正仿宋_GBK"/>
          <w:color w:val="000000"/>
          <w:sz w:val="31"/>
          <w:szCs w:val="31"/>
          <w:lang w:val="en-US" w:eastAsia="zh-CN"/>
        </w:rPr>
        <w:t>2025年3月31日</w:t>
      </w:r>
      <w:r>
        <w:rPr>
          <w:rFonts w:ascii="方正仿宋_GBK" w:hAnsi="方正仿宋_GBK" w:eastAsia="方正仿宋_GBK" w:cs="方正仿宋_GBK"/>
          <w:b w:val="0"/>
          <w:color w:val="000000"/>
          <w:sz w:val="31"/>
          <w:szCs w:val="31"/>
        </w:rPr>
        <w:t>完善专用合同条款内容：</w:t>
      </w:r>
    </w:p>
    <w:p>
      <w:pPr>
        <w:numPr>
          <w:ilvl w:val="-1"/>
          <w:numId w:val="0"/>
        </w:numPr>
        <w:spacing w:before="0"/>
        <w:ind w:left="0" w:firstLine="620" w:firstLineChars="200"/>
        <w:jc w:val="left"/>
        <w:rPr>
          <w:rFonts w:ascii="方正仿宋_GBK" w:hAnsi="方正仿宋_GBK" w:eastAsia="方正仿宋_GBK" w:cs="方正仿宋_GBK"/>
          <w:b w:val="0"/>
          <w:color w:val="000000"/>
          <w:sz w:val="31"/>
          <w:szCs w:val="31"/>
        </w:rPr>
      </w:pPr>
      <w:r>
        <w:rPr>
          <w:rFonts w:hint="eastAsia" w:ascii="方正仿宋_GBK" w:hAnsi="方正仿宋_GBK" w:eastAsia="方正仿宋_GBK" w:cs="方正仿宋_GBK"/>
          <w:b w:val="0"/>
          <w:color w:val="000000"/>
          <w:sz w:val="31"/>
          <w:szCs w:val="31"/>
          <w:lang w:val="en-US" w:eastAsia="zh-CN"/>
        </w:rPr>
        <w:t>1.</w:t>
      </w:r>
      <w:r>
        <w:rPr>
          <w:rFonts w:ascii="方正仿宋_GBK" w:hAnsi="方正仿宋_GBK" w:eastAsia="方正仿宋_GBK" w:cs="方正仿宋_GBK"/>
          <w:b w:val="0"/>
          <w:color w:val="000000"/>
          <w:sz w:val="31"/>
          <w:szCs w:val="31"/>
        </w:rPr>
        <w:t>延长蓄电池组质保期至 6 年。设备质保期由现规定的通过 验收并投运后 24 个月（2 年）延长至 72 个月（6 年），投标方应 对其整组设备在到货后提供 6 年的“三包”质量保证。</w:t>
      </w:r>
    </w:p>
    <w:p>
      <w:pPr>
        <w:numPr>
          <w:ilvl w:val="-1"/>
          <w:numId w:val="0"/>
        </w:numPr>
        <w:spacing w:before="0"/>
        <w:ind w:left="0" w:firstLine="620" w:firstLineChars="200"/>
        <w:jc w:val="left"/>
        <w:rPr>
          <w:rFonts w:ascii="方正仿宋_GBK" w:hAnsi="方正仿宋_GBK" w:eastAsia="方正仿宋_GBK" w:cs="方正仿宋_GBK"/>
          <w:b w:val="0"/>
          <w:color w:val="000000"/>
          <w:sz w:val="31"/>
          <w:szCs w:val="31"/>
        </w:rPr>
      </w:pPr>
      <w:r>
        <w:rPr>
          <w:rFonts w:hint="eastAsia" w:ascii="方正仿宋_GBK" w:hAnsi="方正仿宋_GBK" w:eastAsia="方正仿宋_GBK" w:cs="方正仿宋_GBK"/>
          <w:b w:val="0"/>
          <w:color w:val="000000"/>
          <w:sz w:val="31"/>
          <w:szCs w:val="31"/>
          <w:lang w:val="en-US" w:eastAsia="zh-CN"/>
        </w:rPr>
        <w:t>2.</w:t>
      </w:r>
      <w:r>
        <w:rPr>
          <w:rFonts w:ascii="方正仿宋_GBK" w:hAnsi="方正仿宋_GBK" w:eastAsia="方正仿宋_GBK" w:cs="方正仿宋_GBK"/>
          <w:b w:val="0"/>
          <w:color w:val="000000"/>
          <w:sz w:val="31"/>
          <w:szCs w:val="31"/>
        </w:rPr>
        <w:t>适当提高质保金比例。加强质保金对供应商的约束力，质 保金比例由目前的 5%提高至合同额的 10%。设备验收投运后，无 质量问题及索赔事项，供应商可向买方提交质保金保函，申请等 额替代质保金，不影响供应商现金回流的同时可提高质保金比例。</w:t>
      </w:r>
    </w:p>
    <w:p>
      <w:pPr>
        <w:numPr>
          <w:ilvl w:val="-1"/>
          <w:numId w:val="0"/>
        </w:numPr>
        <w:spacing w:before="0"/>
        <w:ind w:left="0" w:firstLine="620" w:firstLineChars="200"/>
        <w:jc w:val="left"/>
        <w:rPr>
          <w:rFonts w:ascii="方正仿宋_GBK" w:hAnsi="方正仿宋_GBK" w:eastAsia="方正仿宋_GBK" w:cs="方正仿宋_GBK"/>
          <w:b w:val="0"/>
          <w:color w:val="000000"/>
          <w:sz w:val="31"/>
          <w:szCs w:val="31"/>
        </w:rPr>
      </w:pPr>
      <w:r>
        <w:rPr>
          <w:rFonts w:hint="eastAsia" w:ascii="方正仿宋_GBK" w:hAnsi="方正仿宋_GBK" w:eastAsia="方正仿宋_GBK" w:cs="方正仿宋_GBK"/>
          <w:b w:val="0"/>
          <w:color w:val="000000"/>
          <w:sz w:val="31"/>
          <w:szCs w:val="31"/>
          <w:lang w:val="en-US" w:eastAsia="zh-CN"/>
        </w:rPr>
        <w:t>3.</w:t>
      </w:r>
      <w:r>
        <w:rPr>
          <w:rFonts w:ascii="方正仿宋_GBK" w:hAnsi="方正仿宋_GBK" w:eastAsia="方正仿宋_GBK" w:cs="方正仿宋_GBK"/>
          <w:b w:val="0"/>
          <w:color w:val="000000"/>
          <w:sz w:val="31"/>
          <w:szCs w:val="31"/>
        </w:rPr>
        <w:t>规范质保期内服务。质保期内，蓄电池损坏（漏液、漏胶、 裂缝、变形、容量不合格、开路等问题）数量在核容周期内达整 组数量的 3%，或累计达到整组数量的 8%，应免费更换整组蓄电池。</w:t>
      </w:r>
    </w:p>
    <w:p>
      <w:pPr>
        <w:numPr>
          <w:ilvl w:val="-1"/>
          <w:numId w:val="0"/>
        </w:numPr>
        <w:spacing w:before="0"/>
        <w:ind w:left="0" w:firstLine="620" w:firstLineChars="200"/>
        <w:jc w:val="left"/>
        <w:rPr>
          <w:color w:val="auto"/>
          <w:lang w:eastAsia="zh-CN"/>
        </w:rPr>
      </w:pPr>
      <w:bookmarkStart w:id="4" w:name="_GoBack"/>
      <w:bookmarkEnd w:id="4"/>
      <w:r>
        <w:rPr>
          <w:rFonts w:ascii="方正仿宋_GBK" w:hAnsi="方正仿宋_GBK" w:eastAsia="方正仿宋_GBK" w:cs="方正仿宋_GBK"/>
          <w:b w:val="0"/>
          <w:color w:val="000000"/>
          <w:sz w:val="31"/>
          <w:szCs w:val="31"/>
        </w:rPr>
        <w:t xml:space="preserve"> 4.完善质保期后服务。质量保证期的届满不能视为卖方对合 同设备中存在的可能引起合同设备损坏的潜在性缺陷所应负责任的 解除。质量保证期结束后 2 年内，合同设备出现潜在性缺陷时，买 方有权要求卖方对有缺陷的合同设备和同一批次的合同设备免费予 以及时修理或更换。质量保证期结束 2 年后，合同设备寿命期内（10 年），合同设备出现潜在性缺陷时，买方有权要求卖方按成本价对有 缺陷的合同设备和同一批次的合同设备予以及时修理或更换。</w:t>
      </w:r>
    </w:p>
    <w:p>
      <w:pPr>
        <w:spacing w:before="0"/>
        <w:jc w:val="left"/>
        <w:rPr>
          <w:rFonts w:hint="eastAsia" w:ascii="宋体" w:hAnsi="宋体"/>
          <w:color w:val="auto"/>
          <w:sz w:val="30"/>
          <w:lang w:eastAsia="zh-CN"/>
        </w:rPr>
      </w:pPr>
      <w:r>
        <w:rPr>
          <w:rFonts w:hint="eastAsia" w:ascii="宋体" w:hAnsi="宋体"/>
          <w:color w:val="auto"/>
          <w:sz w:val="30"/>
          <w:lang w:eastAsia="zh-CN"/>
        </w:rPr>
        <w:br w:type="page"/>
      </w:r>
    </w:p>
    <w:p>
      <w:pPr>
        <w:spacing w:before="5"/>
        <w:jc w:val="center"/>
        <w:rPr>
          <w:rFonts w:ascii="宋体" w:hAnsi="宋体"/>
          <w:color w:val="auto"/>
          <w:sz w:val="30"/>
          <w:lang w:eastAsia="zh-CN"/>
        </w:rPr>
      </w:pPr>
      <w:r>
        <w:rPr>
          <w:rFonts w:hint="eastAsia" w:ascii="宋体" w:hAnsi="宋体"/>
          <w:color w:val="auto"/>
          <w:sz w:val="30"/>
          <w:lang w:eastAsia="zh-CN"/>
        </w:rPr>
        <w:t>寄存合作协议书</w:t>
      </w:r>
    </w:p>
    <w:p>
      <w:pPr>
        <w:spacing w:line="300" w:lineRule="exact"/>
        <w:ind w:firstLine="440" w:firstLineChars="200"/>
        <w:rPr>
          <w:rFonts w:hint="eastAsia" w:ascii="宋体" w:hAnsi="宋体"/>
          <w:color w:val="auto"/>
          <w:lang w:eastAsia="zh-CN"/>
        </w:rPr>
      </w:pPr>
    </w:p>
    <w:p>
      <w:pPr>
        <w:spacing w:line="300" w:lineRule="exact"/>
        <w:ind w:firstLine="440" w:firstLineChars="200"/>
        <w:rPr>
          <w:rFonts w:hint="eastAsia" w:ascii="宋体" w:hAnsi="宋体"/>
          <w:color w:val="auto"/>
          <w:lang w:eastAsia="zh-CN"/>
        </w:rPr>
      </w:pPr>
    </w:p>
    <w:p>
      <w:pPr>
        <w:spacing w:line="300" w:lineRule="exact"/>
        <w:ind w:firstLine="440" w:firstLineChars="200"/>
        <w:rPr>
          <w:rFonts w:ascii="宋体" w:hAnsi="宋体"/>
          <w:color w:val="auto"/>
          <w:lang w:eastAsia="zh-CN"/>
        </w:rPr>
      </w:pPr>
      <w:r>
        <w:rPr>
          <w:rFonts w:hint="eastAsia" w:ascii="宋体" w:hAnsi="宋体"/>
          <w:color w:val="auto"/>
          <w:lang w:eastAsia="zh-CN"/>
        </w:rPr>
        <w:t>本协议适用于根据《中华人民共和国民法典》及相关法律法规，经双方平等协商并签订的协议库存采购合同项下的物资</w:t>
      </w:r>
      <w:r>
        <w:rPr>
          <w:rFonts w:hint="eastAsia" w:ascii="宋体" w:hAnsi="宋体"/>
          <w:b/>
          <w:bCs/>
          <w:color w:val="auto"/>
          <w:lang w:eastAsia="zh-CN"/>
        </w:rPr>
        <w:t>寄存物资供应合作</w:t>
      </w:r>
      <w:r>
        <w:rPr>
          <w:rFonts w:hint="eastAsia" w:ascii="宋体" w:hAnsi="宋体"/>
          <w:bCs/>
          <w:color w:val="auto"/>
          <w:lang w:eastAsia="zh-CN"/>
        </w:rPr>
        <w:t>事宜。</w:t>
      </w:r>
      <w:r>
        <w:rPr>
          <w:rFonts w:hint="eastAsia" w:ascii="宋体" w:hAnsi="宋体"/>
          <w:color w:val="auto"/>
          <w:lang w:eastAsia="zh-CN"/>
        </w:rPr>
        <w:t>本协议作为该协议库存采购合同的附件。</w:t>
      </w:r>
    </w:p>
    <w:p>
      <w:pPr>
        <w:spacing w:line="300" w:lineRule="exact"/>
        <w:ind w:firstLine="442" w:firstLineChars="200"/>
        <w:rPr>
          <w:rFonts w:ascii="宋体" w:hAnsi="宋体"/>
          <w:b/>
          <w:color w:val="auto"/>
          <w:lang w:eastAsia="zh-CN"/>
        </w:rPr>
      </w:pPr>
      <w:r>
        <w:rPr>
          <w:rFonts w:hint="eastAsia" w:ascii="宋体" w:hAnsi="宋体"/>
          <w:b/>
          <w:color w:val="auto"/>
          <w:lang w:eastAsia="zh-CN"/>
        </w:rPr>
        <w:t>一、寄存合作含义</w:t>
      </w:r>
    </w:p>
    <w:p>
      <w:pPr>
        <w:spacing w:line="300" w:lineRule="exact"/>
        <w:ind w:firstLine="440" w:firstLineChars="200"/>
        <w:rPr>
          <w:rFonts w:ascii="宋体" w:hAnsi="宋体"/>
          <w:color w:val="auto"/>
          <w:lang w:eastAsia="zh-CN"/>
        </w:rPr>
      </w:pPr>
      <w:r>
        <w:rPr>
          <w:rFonts w:hint="eastAsia" w:ascii="宋体" w:hAnsi="宋体"/>
          <w:color w:val="auto"/>
          <w:lang w:eastAsia="zh-CN"/>
        </w:rPr>
        <w:t>寄存合作是以双方获得最低成本为目的，在共同协议下管理寄存物资，监督协议执行，使库存管理得到持续地改进的库存管理策略。具体做法是，在协议库存采购合同期限内，卖方将待售物资存放在买方指定的仓库内（或指定地点）代为保管，该物资所有权仍归卖方，待该物资由买方领用并办理完成出库手续后，其所有权转移至买方。</w:t>
      </w:r>
    </w:p>
    <w:p>
      <w:pPr>
        <w:spacing w:line="300" w:lineRule="exact"/>
        <w:ind w:firstLine="442" w:firstLineChars="200"/>
        <w:rPr>
          <w:rFonts w:ascii="宋体" w:hAnsi="宋体"/>
          <w:b/>
          <w:color w:val="auto"/>
          <w:lang w:eastAsia="zh-CN"/>
        </w:rPr>
      </w:pPr>
      <w:r>
        <w:rPr>
          <w:rFonts w:hint="eastAsia" w:ascii="宋体" w:hAnsi="宋体"/>
          <w:b/>
          <w:color w:val="auto"/>
          <w:lang w:eastAsia="zh-CN"/>
        </w:rPr>
        <w:t>二、寄存物资范围</w:t>
      </w:r>
    </w:p>
    <w:p>
      <w:pPr>
        <w:spacing w:line="300" w:lineRule="exact"/>
        <w:ind w:firstLine="440" w:firstLineChars="200"/>
        <w:rPr>
          <w:rFonts w:ascii="宋体" w:hAnsi="宋体"/>
          <w:color w:val="auto"/>
          <w:lang w:eastAsia="zh-CN"/>
        </w:rPr>
      </w:pPr>
      <w:r>
        <w:rPr>
          <w:rFonts w:hint="eastAsia" w:ascii="宋体" w:hAnsi="宋体"/>
          <w:color w:val="auto"/>
          <w:lang w:eastAsia="zh-CN"/>
        </w:rPr>
        <w:t>寄存物资范围按双方签订的协议库存采购合同确定，线缆类物资的标准盘长和包装须按照买方要求，详见附表。</w:t>
      </w:r>
    </w:p>
    <w:p>
      <w:pPr>
        <w:spacing w:line="300" w:lineRule="exact"/>
        <w:ind w:firstLine="442" w:firstLineChars="200"/>
        <w:rPr>
          <w:rFonts w:ascii="宋体" w:hAnsi="宋体"/>
          <w:b/>
          <w:color w:val="auto"/>
          <w:lang w:eastAsia="zh-CN"/>
        </w:rPr>
      </w:pPr>
      <w:r>
        <w:rPr>
          <w:rFonts w:hint="eastAsia" w:ascii="宋体" w:hAnsi="宋体"/>
          <w:b/>
          <w:color w:val="auto"/>
          <w:lang w:eastAsia="zh-CN"/>
        </w:rPr>
        <w:t>三、备货与补库</w:t>
      </w:r>
    </w:p>
    <w:p>
      <w:pPr>
        <w:spacing w:line="300" w:lineRule="exact"/>
        <w:ind w:firstLine="440" w:firstLineChars="200"/>
        <w:rPr>
          <w:rFonts w:ascii="宋体" w:hAnsi="宋体"/>
          <w:color w:val="auto"/>
          <w:lang w:eastAsia="zh-CN"/>
        </w:rPr>
      </w:pPr>
      <w:r>
        <w:rPr>
          <w:rFonts w:hint="eastAsia" w:ascii="宋体" w:hAnsi="宋体"/>
          <w:color w:val="auto"/>
          <w:lang w:eastAsia="zh-CN"/>
        </w:rPr>
        <w:t>1、为确保库存物资数量维持在合理范围之内，卖方需根据买方下达的供货单进行备货。买方可以就供货单物资安排补货计划，卖方接到该补货计划后，应立刻安排备货</w:t>
      </w:r>
      <w:r>
        <w:rPr>
          <w:rFonts w:ascii="宋体" w:hAnsi="宋体"/>
          <w:color w:val="auto"/>
          <w:lang w:eastAsia="zh-CN"/>
        </w:rPr>
        <w:t>,</w:t>
      </w:r>
      <w:r>
        <w:rPr>
          <w:rFonts w:hint="eastAsia" w:ascii="宋体" w:hAnsi="宋体"/>
          <w:color w:val="auto"/>
          <w:lang w:eastAsia="zh-CN"/>
        </w:rPr>
        <w:t>并保证30天内具备送货至指定仓库的条件。</w:t>
      </w:r>
    </w:p>
    <w:p>
      <w:pPr>
        <w:spacing w:line="300" w:lineRule="exact"/>
        <w:ind w:firstLine="440" w:firstLineChars="200"/>
        <w:rPr>
          <w:rFonts w:ascii="宋体" w:hAnsi="宋体"/>
          <w:color w:val="auto"/>
          <w:lang w:eastAsia="zh-CN"/>
        </w:rPr>
      </w:pPr>
      <w:r>
        <w:rPr>
          <w:rFonts w:hint="eastAsia" w:ascii="宋体" w:hAnsi="宋体"/>
          <w:color w:val="auto"/>
          <w:lang w:eastAsia="zh-CN"/>
        </w:rPr>
        <w:t>2、卖方完成物资备货后，应向买方通报预到货信息，包括物资名称、规格、型号、数量、包装件数、预到货时间等信息，以便双方作好收货交接工作。</w:t>
      </w:r>
    </w:p>
    <w:p>
      <w:pPr>
        <w:spacing w:line="300" w:lineRule="exact"/>
        <w:ind w:firstLine="440" w:firstLineChars="200"/>
        <w:rPr>
          <w:rFonts w:ascii="宋体" w:hAnsi="宋体"/>
          <w:b/>
          <w:color w:val="auto"/>
          <w:lang w:eastAsia="zh-CN"/>
        </w:rPr>
      </w:pPr>
      <w:r>
        <w:rPr>
          <w:rFonts w:ascii="宋体" w:hAnsi="宋体"/>
          <w:color w:val="auto"/>
          <w:lang w:eastAsia="zh-CN"/>
        </w:rPr>
        <w:t>3</w:t>
      </w:r>
      <w:r>
        <w:rPr>
          <w:rFonts w:hint="eastAsia" w:ascii="宋体" w:hAnsi="宋体"/>
          <w:color w:val="auto"/>
          <w:lang w:eastAsia="zh-CN"/>
        </w:rPr>
        <w:t>、卖方应按照买方采购供货单要求的数量和日期，及时准确地将相应物资送至买方指定仓库。卖方补库时间不得超过30天。</w:t>
      </w:r>
      <w:r>
        <w:rPr>
          <w:rFonts w:hint="eastAsia" w:ascii="宋体" w:hAnsi="宋体"/>
          <w:b/>
          <w:color w:val="auto"/>
          <w:lang w:eastAsia="zh-CN"/>
        </w:rPr>
        <w:t>补库行为视为交货，其规则适用双方签订的协议库存采购合同关于交货的各项约定。</w:t>
      </w:r>
    </w:p>
    <w:p>
      <w:pPr>
        <w:spacing w:line="300" w:lineRule="exact"/>
        <w:ind w:firstLine="440" w:firstLineChars="200"/>
        <w:rPr>
          <w:rFonts w:ascii="宋体" w:hAnsi="宋体"/>
          <w:color w:val="auto"/>
          <w:lang w:eastAsia="zh-CN"/>
        </w:rPr>
      </w:pPr>
      <w:r>
        <w:rPr>
          <w:rFonts w:ascii="宋体" w:hAnsi="宋体"/>
          <w:color w:val="auto"/>
          <w:lang w:eastAsia="zh-CN"/>
        </w:rPr>
        <w:t>4</w:t>
      </w:r>
      <w:r>
        <w:rPr>
          <w:rFonts w:hint="eastAsia" w:ascii="宋体" w:hAnsi="宋体"/>
          <w:color w:val="auto"/>
          <w:lang w:eastAsia="zh-CN"/>
        </w:rPr>
        <w:t>、买方对寄存物资库存上下限实施监控，根据库存达限情况，分别通知卖方停止送货和及时补货，卖方须予以配合。特殊情况，买方可以根据实际库存向卖方发出</w:t>
      </w:r>
      <w:r>
        <w:rPr>
          <w:rFonts w:hint="eastAsia" w:ascii="宋体" w:hAnsi="宋体"/>
          <w:b/>
          <w:color w:val="auto"/>
          <w:lang w:eastAsia="zh-CN"/>
        </w:rPr>
        <w:t>紧急送货或暂停送货</w:t>
      </w:r>
      <w:r>
        <w:rPr>
          <w:rFonts w:hint="eastAsia" w:ascii="宋体" w:hAnsi="宋体"/>
          <w:color w:val="auto"/>
          <w:lang w:eastAsia="zh-CN"/>
        </w:rPr>
        <w:t>通知，卖方应按通知要求</w:t>
      </w:r>
      <w:r>
        <w:rPr>
          <w:rFonts w:hint="eastAsia" w:ascii="宋体" w:hAnsi="宋体"/>
          <w:b/>
          <w:color w:val="auto"/>
          <w:lang w:eastAsia="zh-CN"/>
        </w:rPr>
        <w:t>紧急送货或暂停送货</w:t>
      </w:r>
      <w:r>
        <w:rPr>
          <w:rFonts w:hint="eastAsia" w:ascii="宋体" w:hAnsi="宋体"/>
          <w:color w:val="auto"/>
          <w:lang w:eastAsia="zh-CN"/>
        </w:rPr>
        <w:t>。卖方接到买方补库通知后应在1个工作日内通过传真、电话或邮件方式予以回应，卖方不及时回应又不能及时补库给买方造成损失的，需承担由此造成的经济损失。</w:t>
      </w:r>
    </w:p>
    <w:p>
      <w:pPr>
        <w:spacing w:line="300" w:lineRule="exact"/>
        <w:ind w:firstLine="442" w:firstLineChars="200"/>
        <w:rPr>
          <w:rFonts w:ascii="宋体" w:hAnsi="宋体"/>
          <w:b/>
          <w:color w:val="auto"/>
          <w:lang w:eastAsia="zh-CN"/>
        </w:rPr>
      </w:pPr>
      <w:r>
        <w:rPr>
          <w:rFonts w:hint="eastAsia" w:ascii="宋体" w:hAnsi="宋体"/>
          <w:b/>
          <w:color w:val="auto"/>
          <w:lang w:eastAsia="zh-CN"/>
        </w:rPr>
        <w:t>四、入库预验收</w:t>
      </w:r>
    </w:p>
    <w:p>
      <w:pPr>
        <w:spacing w:line="300" w:lineRule="exact"/>
        <w:ind w:firstLine="440" w:firstLineChars="200"/>
        <w:rPr>
          <w:rFonts w:ascii="宋体" w:hAnsi="宋体"/>
          <w:color w:val="auto"/>
          <w:lang w:eastAsia="zh-CN"/>
        </w:rPr>
      </w:pPr>
      <w:r>
        <w:rPr>
          <w:rFonts w:hint="eastAsia" w:ascii="宋体" w:hAnsi="宋体"/>
          <w:color w:val="auto"/>
          <w:lang w:eastAsia="zh-CN"/>
        </w:rPr>
        <w:t>1、寄存物资入库前，买方应指定人员与卖方共同清点待入库物资即预验收。预验收行为仅为形式检查，经预验收完成入库并不免除卖方的产品质量保证义务及相关法律责任。</w:t>
      </w:r>
    </w:p>
    <w:p>
      <w:pPr>
        <w:spacing w:line="300" w:lineRule="exact"/>
        <w:ind w:firstLine="440" w:firstLineChars="200"/>
        <w:rPr>
          <w:rFonts w:ascii="宋体" w:hAnsi="宋体"/>
          <w:color w:val="auto"/>
          <w:lang w:eastAsia="zh-CN"/>
        </w:rPr>
      </w:pPr>
      <w:r>
        <w:rPr>
          <w:rFonts w:hint="eastAsia" w:ascii="宋体" w:hAnsi="宋体"/>
          <w:color w:val="auto"/>
          <w:lang w:eastAsia="zh-CN"/>
        </w:rPr>
        <w:t>2、经清点确认数量无误、规格型号匹配、外观无破损的物资方可入库；对清点不符合的物资，卖方应及时取回。</w:t>
      </w:r>
    </w:p>
    <w:p>
      <w:pPr>
        <w:spacing w:line="300" w:lineRule="exact"/>
        <w:ind w:firstLine="440" w:firstLineChars="200"/>
        <w:rPr>
          <w:rFonts w:ascii="宋体" w:hAnsi="宋体"/>
          <w:color w:val="auto"/>
          <w:lang w:eastAsia="zh-CN"/>
        </w:rPr>
      </w:pPr>
      <w:r>
        <w:rPr>
          <w:rFonts w:hint="eastAsia" w:ascii="宋体" w:hAnsi="宋体"/>
          <w:color w:val="auto"/>
          <w:lang w:eastAsia="zh-CN"/>
        </w:rPr>
        <w:t>3、双方可协商选择剔除规格型号不符和外观破损的物资，按实际数量入库或补齐后按预定数量入库的方式。入库手续于买方仓库管理人员和卖方代表办理相关签字手续后即视为完成。</w:t>
      </w:r>
    </w:p>
    <w:p>
      <w:pPr>
        <w:spacing w:line="300" w:lineRule="exact"/>
        <w:ind w:firstLine="442" w:firstLineChars="200"/>
        <w:rPr>
          <w:rFonts w:ascii="宋体" w:hAnsi="宋体"/>
          <w:b/>
          <w:color w:val="auto"/>
          <w:lang w:eastAsia="zh-CN"/>
        </w:rPr>
      </w:pPr>
      <w:r>
        <w:rPr>
          <w:rFonts w:hint="eastAsia" w:ascii="宋体" w:hAnsi="宋体"/>
          <w:b/>
          <w:color w:val="auto"/>
          <w:lang w:eastAsia="zh-CN"/>
        </w:rPr>
        <w:t>五、寄存物资保管</w:t>
      </w:r>
    </w:p>
    <w:p>
      <w:pPr>
        <w:spacing w:line="300" w:lineRule="exact"/>
        <w:ind w:left="110" w:leftChars="50" w:firstLine="330" w:firstLineChars="150"/>
        <w:rPr>
          <w:rFonts w:ascii="宋体" w:hAnsi="宋体"/>
          <w:color w:val="auto"/>
          <w:lang w:eastAsia="zh-CN"/>
        </w:rPr>
      </w:pPr>
      <w:r>
        <w:rPr>
          <w:rFonts w:hint="eastAsia" w:ascii="宋体" w:hAnsi="宋体"/>
          <w:color w:val="auto"/>
          <w:lang w:eastAsia="zh-CN"/>
        </w:rPr>
        <w:t>1、买方按照卖方提供的寄存物资仓储保管措施对寄存物资统一进行日常保管和养护，负责提供寄存物资存储仓库及所需管理、作业人员，并承担仓储费用；买方定期对寄存物资进行盘点，并将盘点清单提供给卖方。</w:t>
      </w:r>
    </w:p>
    <w:p>
      <w:pPr>
        <w:spacing w:line="300" w:lineRule="exact"/>
        <w:ind w:firstLine="440" w:firstLineChars="200"/>
        <w:rPr>
          <w:rFonts w:ascii="宋体" w:hAnsi="宋体"/>
          <w:color w:val="auto"/>
          <w:lang w:eastAsia="zh-CN"/>
        </w:rPr>
      </w:pPr>
      <w:r>
        <w:rPr>
          <w:rFonts w:hint="eastAsia" w:ascii="宋体" w:hAnsi="宋体"/>
          <w:color w:val="auto"/>
          <w:lang w:eastAsia="zh-CN"/>
        </w:rPr>
        <w:t>2、因仓库保管不善导致寄存物资灭失或外观损毁的由买方承担相应责任，但不可抗力导致的任何毁损除外；由于卖方不提供、未及时提供或遗漏提供寄存物资保管措施，导致寄存物资在保管过程中产生的灭失、毁损或减损等，由卖方自行承担。</w:t>
      </w:r>
    </w:p>
    <w:p>
      <w:pPr>
        <w:spacing w:line="300" w:lineRule="exact"/>
        <w:ind w:firstLine="440" w:firstLineChars="200"/>
        <w:jc w:val="both"/>
        <w:rPr>
          <w:rFonts w:ascii="宋体" w:hAnsi="宋体"/>
          <w:color w:val="auto"/>
          <w:kern w:val="2"/>
          <w:lang w:eastAsia="zh-CN"/>
        </w:rPr>
      </w:pPr>
      <w:r>
        <w:rPr>
          <w:rFonts w:hint="eastAsia" w:ascii="宋体" w:hAnsi="宋体"/>
          <w:color w:val="auto"/>
          <w:kern w:val="2"/>
          <w:lang w:eastAsia="zh-CN"/>
        </w:rPr>
        <w:t>3、卖方应定期或不定期对寄存物资进行巡查和养护，因自然老化、锈蚀、耗损或技术淘汰的寄存物资，卖方应负责处理并承担相关费用。尤其对于有质保期限要求的寄存物资（电缆头等），卖方应根据发货时间，定期向买方提出随时取回的申请，并替换为新的合格产品，确保在库寄存物资合格可用。</w:t>
      </w:r>
    </w:p>
    <w:p>
      <w:pPr>
        <w:spacing w:line="300" w:lineRule="exact"/>
        <w:ind w:firstLine="440" w:firstLineChars="200"/>
        <w:rPr>
          <w:rFonts w:ascii="宋体" w:hAnsi="宋体"/>
          <w:color w:val="auto"/>
          <w:lang w:eastAsia="zh-CN"/>
        </w:rPr>
      </w:pPr>
      <w:r>
        <w:rPr>
          <w:rFonts w:ascii="宋体" w:hAnsi="宋体"/>
          <w:color w:val="auto"/>
          <w:lang w:eastAsia="zh-CN"/>
        </w:rPr>
        <w:t>4</w:t>
      </w:r>
      <w:r>
        <w:rPr>
          <w:rFonts w:hint="eastAsia" w:ascii="宋体" w:hAnsi="宋体"/>
          <w:color w:val="auto"/>
          <w:lang w:eastAsia="zh-CN"/>
        </w:rPr>
        <w:t>、尽管卖方保留寄存物资所有权，但基于寄存合作目的，卖方未经买方同意不得擅自将寄存物资取出或用于其它用途。卖方需取回寄存货物的，应提前日书面通知买方，经买方同意并双方核对无误后取回；卖方提货人须向买方出示卖方授权委托书以及提货人身份证原件。</w:t>
      </w:r>
    </w:p>
    <w:p>
      <w:pPr>
        <w:spacing w:line="300" w:lineRule="exact"/>
        <w:ind w:firstLine="442" w:firstLineChars="200"/>
        <w:rPr>
          <w:rFonts w:ascii="宋体" w:hAnsi="宋体"/>
          <w:b/>
          <w:color w:val="auto"/>
          <w:lang w:eastAsia="zh-CN"/>
        </w:rPr>
      </w:pPr>
      <w:r>
        <w:rPr>
          <w:rFonts w:hint="eastAsia" w:ascii="宋体" w:hAnsi="宋体"/>
          <w:b/>
          <w:color w:val="auto"/>
          <w:lang w:eastAsia="zh-CN"/>
        </w:rPr>
        <w:t>六、寄存物资抽检</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1、买方有权对寄存物资进行抽样检验，卖方有义务配合买方开展抽检工作。</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2、抽检应由买方指定的专业机构实施，检测应出具检测结果；卖方应按要求提供各类技术资料和检测需要其他各项条件。</w:t>
      </w:r>
    </w:p>
    <w:p>
      <w:pPr>
        <w:pStyle w:val="169"/>
        <w:spacing w:line="300" w:lineRule="exact"/>
        <w:ind w:firstLine="440" w:firstLineChars="200"/>
        <w:rPr>
          <w:rFonts w:ascii="宋体" w:hAnsi="宋体"/>
          <w:b/>
          <w:color w:val="auto"/>
          <w:kern w:val="2"/>
          <w:sz w:val="22"/>
        </w:rPr>
      </w:pPr>
      <w:r>
        <w:rPr>
          <w:rFonts w:ascii="宋体" w:hAnsi="宋体"/>
          <w:color w:val="auto"/>
          <w:kern w:val="2"/>
          <w:sz w:val="22"/>
        </w:rPr>
        <w:t>3</w:t>
      </w:r>
      <w:r>
        <w:rPr>
          <w:rFonts w:hint="eastAsia" w:ascii="宋体" w:hAnsi="宋体"/>
          <w:color w:val="auto"/>
          <w:kern w:val="2"/>
          <w:sz w:val="22"/>
        </w:rPr>
        <w:t>、</w:t>
      </w:r>
      <w:r>
        <w:rPr>
          <w:rFonts w:hint="eastAsia" w:ascii="宋体" w:hAnsi="宋体"/>
          <w:b/>
          <w:color w:val="auto"/>
          <w:kern w:val="2"/>
          <w:sz w:val="22"/>
        </w:rPr>
        <w:t>寄存</w:t>
      </w:r>
      <w:r>
        <w:rPr>
          <w:rFonts w:ascii="宋体" w:hAnsi="宋体"/>
          <w:b/>
          <w:color w:val="auto"/>
          <w:kern w:val="2"/>
          <w:sz w:val="22"/>
        </w:rPr>
        <w:t>物资抽检</w:t>
      </w:r>
      <w:r>
        <w:rPr>
          <w:rFonts w:hint="eastAsia" w:ascii="宋体" w:hAnsi="宋体"/>
          <w:b/>
          <w:color w:val="auto"/>
          <w:kern w:val="2"/>
          <w:sz w:val="22"/>
        </w:rPr>
        <w:t>其含义同双方签订的协议库存采购合同的抽检，即使寄存物资所有权仍归属于卖方，其规则亦适用双方关于抽检的各项约定</w:t>
      </w:r>
      <w:r>
        <w:rPr>
          <w:rFonts w:ascii="宋体" w:hAnsi="宋体"/>
          <w:b/>
          <w:color w:val="auto"/>
          <w:kern w:val="2"/>
          <w:sz w:val="22"/>
        </w:rPr>
        <w:t>。</w:t>
      </w:r>
    </w:p>
    <w:p>
      <w:pPr>
        <w:pStyle w:val="168"/>
        <w:spacing w:line="300" w:lineRule="exact"/>
        <w:ind w:firstLine="440" w:firstLineChars="200"/>
        <w:rPr>
          <w:rFonts w:ascii="宋体" w:hAnsi="宋体"/>
          <w:color w:val="auto"/>
          <w:kern w:val="2"/>
          <w:sz w:val="22"/>
          <w:szCs w:val="22"/>
        </w:rPr>
      </w:pPr>
      <w:r>
        <w:rPr>
          <w:rFonts w:hint="eastAsia" w:ascii="宋体" w:hAnsi="宋体" w:cs="Times New Roman"/>
          <w:color w:val="auto"/>
          <w:kern w:val="2"/>
          <w:sz w:val="22"/>
          <w:szCs w:val="22"/>
        </w:rPr>
        <w:t>4、线缆类物资，抽检造成的损耗，由卖方承担。</w:t>
      </w:r>
    </w:p>
    <w:p>
      <w:pPr>
        <w:pStyle w:val="169"/>
        <w:spacing w:line="300" w:lineRule="exact"/>
        <w:ind w:firstLine="440" w:firstLineChars="200"/>
        <w:rPr>
          <w:rFonts w:hint="eastAsia" w:ascii="宋体" w:hAnsi="宋体"/>
          <w:color w:val="auto"/>
          <w:kern w:val="2"/>
          <w:sz w:val="22"/>
        </w:rPr>
      </w:pPr>
      <w:r>
        <w:rPr>
          <w:rFonts w:hint="eastAsia" w:ascii="宋体" w:hAnsi="宋体"/>
          <w:color w:val="auto"/>
          <w:kern w:val="2"/>
          <w:sz w:val="22"/>
        </w:rPr>
        <w:t>5、对于破坏性试验造成的损耗，卖方需无偿更换与损坏数量相等的同类产品，并自行取回损坏产品。</w:t>
      </w:r>
    </w:p>
    <w:p>
      <w:pPr>
        <w:pStyle w:val="169"/>
        <w:spacing w:line="300" w:lineRule="exact"/>
        <w:ind w:firstLine="440" w:firstLineChars="200"/>
        <w:rPr>
          <w:rFonts w:hint="default" w:ascii="宋体" w:hAnsi="宋体" w:eastAsia="宋体"/>
          <w:color w:val="auto"/>
          <w:kern w:val="2"/>
          <w:sz w:val="22"/>
          <w:highlight w:val="yellow"/>
          <w:lang w:val="en-US" w:eastAsia="zh-CN"/>
        </w:rPr>
      </w:pPr>
      <w:r>
        <w:rPr>
          <w:rFonts w:hint="eastAsia" w:ascii="宋体" w:hAnsi="宋体"/>
          <w:color w:val="auto"/>
          <w:kern w:val="2"/>
          <w:sz w:val="22"/>
          <w:highlight w:val="yellow"/>
          <w:lang w:val="en-US" w:eastAsia="zh-CN"/>
        </w:rPr>
        <w:t>6、对于需厂内抽检的物资，供应商应配合检测机构在厂内完成抽检。若供应商未经买方同意擅自发货，导致无法完成厂内检测的，后期造成的送检费用由供应商承担。</w:t>
      </w:r>
    </w:p>
    <w:p>
      <w:pPr>
        <w:spacing w:line="300" w:lineRule="exact"/>
        <w:ind w:firstLine="442" w:firstLineChars="200"/>
        <w:rPr>
          <w:rFonts w:ascii="宋体" w:hAnsi="宋体"/>
          <w:b/>
          <w:color w:val="auto"/>
          <w:lang w:eastAsia="zh-CN"/>
        </w:rPr>
      </w:pPr>
      <w:r>
        <w:rPr>
          <w:rFonts w:hint="eastAsia" w:ascii="宋体" w:hAnsi="宋体"/>
          <w:b/>
          <w:color w:val="auto"/>
          <w:lang w:eastAsia="zh-CN"/>
        </w:rPr>
        <w:t>七、寄存物资运输</w:t>
      </w:r>
    </w:p>
    <w:p>
      <w:pPr>
        <w:pStyle w:val="169"/>
        <w:spacing w:line="300" w:lineRule="exact"/>
        <w:ind w:firstLine="440" w:firstLineChars="200"/>
        <w:rPr>
          <w:rFonts w:hint="eastAsia" w:ascii="宋体" w:hAnsi="宋体"/>
          <w:color w:val="auto"/>
          <w:kern w:val="2"/>
          <w:sz w:val="22"/>
        </w:rPr>
      </w:pPr>
      <w:r>
        <w:rPr>
          <w:rFonts w:ascii="宋体" w:hAnsi="宋体"/>
          <w:color w:val="auto"/>
          <w:kern w:val="2"/>
          <w:sz w:val="22"/>
        </w:rPr>
        <w:t>1</w:t>
      </w:r>
      <w:r>
        <w:rPr>
          <w:rFonts w:hint="eastAsia" w:ascii="宋体" w:hAnsi="宋体"/>
          <w:color w:val="auto"/>
          <w:kern w:val="2"/>
          <w:sz w:val="22"/>
        </w:rPr>
        <w:t>、寄存物资送货及运输费用按以下原则分担：从卖方至</w:t>
      </w:r>
      <w:r>
        <w:rPr>
          <w:rFonts w:ascii="宋体" w:hAnsi="宋体"/>
          <w:color w:val="auto"/>
          <w:kern w:val="2"/>
          <w:sz w:val="22"/>
        </w:rPr>
        <w:t>买方指定仓库</w:t>
      </w:r>
      <w:r>
        <w:rPr>
          <w:rFonts w:hint="eastAsia" w:ascii="宋体" w:hAnsi="宋体"/>
          <w:color w:val="auto"/>
          <w:kern w:val="2"/>
          <w:sz w:val="22"/>
        </w:rPr>
        <w:t>由卖方负责，从</w:t>
      </w:r>
      <w:r>
        <w:rPr>
          <w:rFonts w:ascii="宋体" w:hAnsi="宋体"/>
          <w:color w:val="auto"/>
          <w:kern w:val="2"/>
          <w:sz w:val="22"/>
        </w:rPr>
        <w:t>买方指定仓库</w:t>
      </w:r>
      <w:r>
        <w:rPr>
          <w:rFonts w:hint="eastAsia" w:ascii="宋体" w:hAnsi="宋体"/>
          <w:color w:val="auto"/>
          <w:kern w:val="2"/>
          <w:sz w:val="22"/>
        </w:rPr>
        <w:t>至各地市仓库或项目现场由买方负责。</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2、</w:t>
      </w:r>
      <w:r>
        <w:rPr>
          <w:rFonts w:ascii="宋体" w:hAnsi="宋体"/>
          <w:color w:val="auto"/>
          <w:kern w:val="2"/>
          <w:sz w:val="22"/>
        </w:rPr>
        <w:t>买方</w:t>
      </w:r>
      <w:r>
        <w:rPr>
          <w:rFonts w:hint="eastAsia" w:ascii="宋体" w:hAnsi="宋体"/>
          <w:color w:val="auto"/>
          <w:kern w:val="2"/>
          <w:sz w:val="22"/>
        </w:rPr>
        <w:t>应负责办理寄存物资</w:t>
      </w:r>
      <w:r>
        <w:rPr>
          <w:rFonts w:ascii="宋体" w:hAnsi="宋体"/>
          <w:color w:val="auto"/>
          <w:kern w:val="2"/>
          <w:sz w:val="22"/>
        </w:rPr>
        <w:t>配送</w:t>
      </w:r>
      <w:r>
        <w:rPr>
          <w:rFonts w:hint="eastAsia" w:ascii="宋体" w:hAnsi="宋体"/>
          <w:color w:val="auto"/>
          <w:kern w:val="2"/>
          <w:sz w:val="22"/>
        </w:rPr>
        <w:t>物资</w:t>
      </w:r>
      <w:r>
        <w:rPr>
          <w:rFonts w:ascii="宋体" w:hAnsi="宋体"/>
          <w:color w:val="auto"/>
          <w:kern w:val="2"/>
          <w:sz w:val="22"/>
        </w:rPr>
        <w:t>至</w:t>
      </w:r>
      <w:r>
        <w:rPr>
          <w:rFonts w:hint="eastAsia" w:ascii="宋体" w:hAnsi="宋体"/>
          <w:color w:val="auto"/>
          <w:kern w:val="2"/>
          <w:sz w:val="22"/>
        </w:rPr>
        <w:t>各</w:t>
      </w:r>
      <w:r>
        <w:rPr>
          <w:rFonts w:ascii="宋体" w:hAnsi="宋体"/>
          <w:color w:val="auto"/>
          <w:kern w:val="2"/>
          <w:sz w:val="22"/>
        </w:rPr>
        <w:t>地市仓库</w:t>
      </w:r>
      <w:r>
        <w:rPr>
          <w:rFonts w:hint="eastAsia" w:ascii="宋体" w:hAnsi="宋体"/>
          <w:color w:val="auto"/>
          <w:kern w:val="2"/>
          <w:sz w:val="22"/>
        </w:rPr>
        <w:t>到货</w:t>
      </w:r>
      <w:r>
        <w:rPr>
          <w:rFonts w:ascii="宋体" w:hAnsi="宋体"/>
          <w:color w:val="auto"/>
          <w:kern w:val="2"/>
          <w:sz w:val="22"/>
        </w:rPr>
        <w:t>验收</w:t>
      </w:r>
      <w:r>
        <w:rPr>
          <w:rFonts w:hint="eastAsia" w:ascii="宋体" w:hAnsi="宋体"/>
          <w:color w:val="auto"/>
          <w:kern w:val="2"/>
          <w:sz w:val="22"/>
        </w:rPr>
        <w:t>签</w:t>
      </w:r>
      <w:r>
        <w:rPr>
          <w:rFonts w:ascii="宋体" w:hAnsi="宋体"/>
          <w:color w:val="auto"/>
          <w:kern w:val="2"/>
          <w:sz w:val="22"/>
        </w:rPr>
        <w:t>单</w:t>
      </w:r>
      <w:r>
        <w:rPr>
          <w:rFonts w:hint="eastAsia" w:ascii="宋体" w:hAnsi="宋体"/>
          <w:color w:val="auto"/>
          <w:kern w:val="2"/>
          <w:sz w:val="22"/>
        </w:rPr>
        <w:t>并</w:t>
      </w:r>
      <w:r>
        <w:rPr>
          <w:rFonts w:ascii="宋体" w:hAnsi="宋体"/>
          <w:color w:val="auto"/>
          <w:kern w:val="2"/>
          <w:sz w:val="22"/>
        </w:rPr>
        <w:t>指定仓库保管，</w:t>
      </w:r>
      <w:r>
        <w:rPr>
          <w:rFonts w:hint="eastAsia" w:ascii="宋体" w:hAnsi="宋体"/>
          <w:color w:val="auto"/>
          <w:kern w:val="2"/>
          <w:sz w:val="22"/>
        </w:rPr>
        <w:t>卖方应定期至</w:t>
      </w:r>
      <w:r>
        <w:rPr>
          <w:rFonts w:ascii="宋体" w:hAnsi="宋体"/>
          <w:color w:val="auto"/>
          <w:kern w:val="2"/>
          <w:sz w:val="22"/>
        </w:rPr>
        <w:t>买方指定仓库</w:t>
      </w:r>
      <w:r>
        <w:rPr>
          <w:rFonts w:hint="eastAsia" w:ascii="宋体" w:hAnsi="宋体"/>
          <w:color w:val="auto"/>
          <w:kern w:val="2"/>
          <w:sz w:val="22"/>
        </w:rPr>
        <w:t>收取单据。</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3、卖方送货时须随车携带货物技术资料（包括但不限于试验报告、合格证、储存条件或相关技术规范书等）；到达买方指定仓库后的卸车及运杂费用由买方承担。</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4、由于产品本身质量问题，造成装卸过程中发生的货物损失、人员伤亡，由卖方负责；由于仓库作业人员操作不当造成货物损失、人员伤亡，由买方负责。</w:t>
      </w:r>
    </w:p>
    <w:p>
      <w:pPr>
        <w:spacing w:line="300" w:lineRule="exact"/>
        <w:ind w:firstLine="442" w:firstLineChars="200"/>
        <w:rPr>
          <w:rFonts w:ascii="宋体" w:hAnsi="宋体"/>
          <w:b/>
          <w:color w:val="auto"/>
          <w:lang w:eastAsia="zh-CN"/>
        </w:rPr>
      </w:pPr>
      <w:r>
        <w:rPr>
          <w:rFonts w:hint="eastAsia" w:ascii="宋体" w:hAnsi="宋体"/>
          <w:b/>
          <w:color w:val="auto"/>
          <w:lang w:eastAsia="zh-CN"/>
        </w:rPr>
        <w:t>八、寄存物资投保</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1、卖方应投保寄存物资运输险，保障范围应包含运输过程中因自然灾害、</w:t>
      </w:r>
      <w:r>
        <w:rPr>
          <w:color w:val="auto"/>
        </w:rPr>
        <w:fldChar w:fldCharType="begin"/>
      </w:r>
      <w:r>
        <w:rPr>
          <w:color w:val="auto"/>
        </w:rPr>
        <w:instrText xml:space="preserve"> HYPERLINK "http://baike.baidu.com/view/539735.htm" \t "_blank" </w:instrText>
      </w:r>
      <w:r>
        <w:rPr>
          <w:color w:val="auto"/>
        </w:rPr>
        <w:fldChar w:fldCharType="separate"/>
      </w:r>
      <w:r>
        <w:rPr>
          <w:rFonts w:hint="eastAsia" w:ascii="宋体" w:hAnsi="宋体"/>
          <w:color w:val="auto"/>
          <w:kern w:val="2"/>
          <w:sz w:val="22"/>
        </w:rPr>
        <w:t>意外事故</w:t>
      </w:r>
      <w:r>
        <w:rPr>
          <w:rFonts w:hint="eastAsia" w:ascii="宋体" w:hAnsi="宋体"/>
          <w:color w:val="auto"/>
          <w:kern w:val="2"/>
          <w:sz w:val="22"/>
        </w:rPr>
        <w:fldChar w:fldCharType="end"/>
      </w:r>
      <w:r>
        <w:rPr>
          <w:rFonts w:hint="eastAsia" w:ascii="宋体" w:hAnsi="宋体"/>
          <w:color w:val="auto"/>
          <w:kern w:val="2"/>
          <w:sz w:val="22"/>
        </w:rPr>
        <w:t>和盗抢等造成的货物</w:t>
      </w:r>
      <w:r>
        <w:rPr>
          <w:color w:val="auto"/>
        </w:rPr>
        <w:fldChar w:fldCharType="begin"/>
      </w:r>
      <w:r>
        <w:rPr>
          <w:color w:val="auto"/>
        </w:rPr>
        <w:instrText xml:space="preserve"> HYPERLINK "http://baike.baidu.com/view/654238.htm" \t "_blank" </w:instrText>
      </w:r>
      <w:r>
        <w:rPr>
          <w:color w:val="auto"/>
        </w:rPr>
        <w:fldChar w:fldCharType="separate"/>
      </w:r>
      <w:r>
        <w:rPr>
          <w:rFonts w:hint="eastAsia" w:ascii="宋体" w:hAnsi="宋体"/>
          <w:color w:val="auto"/>
          <w:kern w:val="2"/>
          <w:sz w:val="22"/>
        </w:rPr>
        <w:t>损失</w:t>
      </w:r>
      <w:r>
        <w:rPr>
          <w:rFonts w:hint="eastAsia" w:ascii="宋体" w:hAnsi="宋体"/>
          <w:color w:val="auto"/>
          <w:kern w:val="2"/>
          <w:sz w:val="22"/>
        </w:rPr>
        <w:fldChar w:fldCharType="end"/>
      </w:r>
      <w:r>
        <w:rPr>
          <w:rFonts w:hint="eastAsia" w:ascii="宋体" w:hAnsi="宋体"/>
          <w:color w:val="auto"/>
          <w:kern w:val="2"/>
          <w:sz w:val="22"/>
        </w:rPr>
        <w:t>，直至货物所有权转移至买方。卖方购买货物运输险后，应及时在买方备案。</w:t>
      </w:r>
    </w:p>
    <w:p>
      <w:pPr>
        <w:spacing w:line="300" w:lineRule="exact"/>
        <w:ind w:firstLine="442" w:firstLineChars="200"/>
        <w:rPr>
          <w:rFonts w:ascii="宋体" w:hAnsi="宋体"/>
          <w:b/>
          <w:color w:val="auto"/>
          <w:lang w:eastAsia="zh-CN"/>
        </w:rPr>
      </w:pPr>
      <w:r>
        <w:rPr>
          <w:rFonts w:hint="eastAsia" w:ascii="宋体" w:hAnsi="宋体"/>
          <w:b/>
          <w:color w:val="auto"/>
          <w:lang w:eastAsia="zh-CN"/>
        </w:rPr>
        <w:t>九、寄存物资结算</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1、寄存物资结算价格按照采购订单生成日的价格确定。</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2、每月</w:t>
      </w:r>
      <w:r>
        <w:rPr>
          <w:rFonts w:hint="eastAsia" w:ascii="宋体" w:hAnsi="宋体"/>
          <w:color w:val="auto"/>
          <w:kern w:val="2"/>
          <w:sz w:val="22"/>
          <w:u w:val="single"/>
        </w:rPr>
        <w:t>10</w:t>
      </w:r>
      <w:r>
        <w:rPr>
          <w:rFonts w:hint="eastAsia" w:ascii="宋体" w:hAnsi="宋体"/>
          <w:color w:val="auto"/>
          <w:kern w:val="2"/>
          <w:sz w:val="22"/>
        </w:rPr>
        <w:t>日（若遇节假日顺延），买方定期出具寄存货物出库单、寄存货物月度出入库明细给卖方对账，卖方应在5个工作日内书面确认。如卖方有异议，应于5个工作日内与买方进行核对。双方以核对确定的结果作为结算依据。</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3、卖方应及时开具合同货物增值税专用发票，在寄存物资出库后30日内送达买方结算大厅。卖方若逾期送达发票的，每逾期1日，卖方应向买方支付应送达发票金额2‰且不超过20000元的违约金，违约金总额不超过应送达发票金额的20％。</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4、因合同变更需退还发票或返还超付合同价款的，卖方应在合同变更30日内与买方相互配合办理红字发票手续或超付退款手续。因卖方未在买方框架合同约定的时间内办理或无理由拒绝办理红字发票手续、超付退款手续而造成结算滞后的，卖方应按对应发票金额×2‰×逾期交票天数，或者超付退款金额×2‰×逾期退款天数向买方支付违约金，违约金总额不超过相应金额的20％。</w:t>
      </w:r>
    </w:p>
    <w:p>
      <w:pPr>
        <w:spacing w:line="300" w:lineRule="exact"/>
        <w:ind w:firstLine="442" w:firstLineChars="200"/>
        <w:rPr>
          <w:rFonts w:ascii="宋体" w:hAnsi="宋体"/>
          <w:b/>
          <w:color w:val="auto"/>
          <w:lang w:eastAsia="zh-CN"/>
        </w:rPr>
      </w:pPr>
      <w:r>
        <w:rPr>
          <w:rFonts w:hint="eastAsia" w:ascii="宋体" w:hAnsi="宋体"/>
          <w:b/>
          <w:color w:val="auto"/>
          <w:lang w:eastAsia="zh-CN"/>
        </w:rPr>
        <w:t>十、其他约定</w:t>
      </w:r>
    </w:p>
    <w:p>
      <w:pPr>
        <w:spacing w:line="300" w:lineRule="exact"/>
        <w:ind w:firstLine="440" w:firstLineChars="200"/>
        <w:rPr>
          <w:rFonts w:ascii="宋体" w:hAnsi="宋体"/>
          <w:b/>
          <w:color w:val="auto"/>
          <w:lang w:eastAsia="zh-CN"/>
        </w:rPr>
      </w:pPr>
      <w:r>
        <w:rPr>
          <w:rFonts w:hint="eastAsia" w:ascii="宋体" w:hAnsi="宋体"/>
          <w:color w:val="auto"/>
          <w:kern w:val="2"/>
          <w:lang w:eastAsia="zh-CN"/>
        </w:rPr>
        <w:t>1、对于供应商厂内寄存物资，供应商要加强仓库寄存物资管控，对于在供应商仓库寄存的水泥杆、电缆保护管、铁构件、母线等，物资需求单位将定期组织人员，通过视频远程或现场检查等方式，查验寄存物资数量与验收数量一致，供应商应予以配合。</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2、本协议是双方签订的协议库存采购合同的补充协议，旨在确定实施寄存合作中双方的权利义务，未尽之处以协议库存采购合同为准。</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3、协议库存采购合同终止时，本协议同时终止。其中，在协议有效期内匹配的订单，m买方应在约定交货期6个月内，针对未耗用的寄存物资，通知卖方在30日内取回寄存物资，并由卖方承担相应的运输费用及装卸费用。卖方未在通知时间内取回寄存物资的，其任何损坏、遗失和灭失风险由卖方承担。同时，原合同中的相关约定，仍对延续的订单适用。</w:t>
      </w:r>
    </w:p>
    <w:p>
      <w:pPr>
        <w:pStyle w:val="169"/>
        <w:spacing w:line="300" w:lineRule="exact"/>
        <w:ind w:firstLine="440" w:firstLineChars="200"/>
        <w:rPr>
          <w:rFonts w:ascii="宋体" w:hAnsi="宋体"/>
          <w:color w:val="auto"/>
          <w:kern w:val="2"/>
          <w:sz w:val="22"/>
        </w:rPr>
      </w:pPr>
      <w:r>
        <w:rPr>
          <w:rFonts w:hint="eastAsia" w:ascii="宋体" w:hAnsi="宋体"/>
          <w:color w:val="auto"/>
          <w:kern w:val="2"/>
          <w:sz w:val="22"/>
        </w:rPr>
        <w:t>4、在本协议有效期内，若事先未得到对方的书面认可，双方不得以任何方式泄漏双方签订本协议的事实、本协议内容以及在双方履行本协议过程中所得到的对方的各种信息；</w:t>
      </w:r>
    </w:p>
    <w:p>
      <w:pPr>
        <w:pStyle w:val="169"/>
        <w:spacing w:line="300" w:lineRule="exact"/>
        <w:ind w:firstLine="440" w:firstLineChars="200"/>
        <w:rPr>
          <w:rFonts w:ascii="宋体" w:hAnsi="宋体"/>
          <w:b/>
          <w:bCs/>
          <w:color w:val="auto"/>
          <w:kern w:val="2"/>
          <w:sz w:val="22"/>
        </w:rPr>
      </w:pPr>
      <w:r>
        <w:rPr>
          <w:rFonts w:hint="eastAsia" w:ascii="宋体" w:hAnsi="宋体"/>
          <w:color w:val="auto"/>
          <w:kern w:val="2"/>
          <w:sz w:val="22"/>
        </w:rPr>
        <w:t>5、合同条款中与协议不一致的部分，以本协议为准。</w:t>
      </w:r>
    </w:p>
    <w:p>
      <w:pPr>
        <w:pStyle w:val="169"/>
        <w:spacing w:line="300" w:lineRule="exact"/>
        <w:ind w:firstLine="440" w:firstLineChars="200"/>
        <w:rPr>
          <w:rFonts w:ascii="宋体" w:hAnsi="宋体"/>
          <w:color w:val="auto"/>
          <w:kern w:val="2"/>
          <w:sz w:val="22"/>
        </w:rPr>
        <w:sectPr>
          <w:footerReference r:id="rId3" w:type="default"/>
          <w:type w:val="nextColumn"/>
          <w:pgSz w:w="12240" w:h="15840"/>
          <w:pgMar w:top="1503" w:right="1678" w:bottom="1123" w:left="1701" w:header="0" w:footer="879" w:gutter="0"/>
          <w:cols w:space="720" w:num="1"/>
        </w:sectPr>
      </w:pPr>
    </w:p>
    <w:p>
      <w:pPr>
        <w:pStyle w:val="169"/>
        <w:spacing w:line="300" w:lineRule="exact"/>
        <w:ind w:firstLine="440" w:firstLineChars="200"/>
        <w:rPr>
          <w:rFonts w:ascii="宋体" w:hAnsi="宋体"/>
          <w:color w:val="auto"/>
          <w:kern w:val="2"/>
          <w:sz w:val="22"/>
        </w:rPr>
        <w:sectPr>
          <w:footerReference r:id="rId4" w:type="default"/>
          <w:type w:val="nextColumn"/>
          <w:pgSz w:w="12240" w:h="15840"/>
          <w:pgMar w:top="1503" w:right="1678" w:bottom="1123" w:left="1701" w:header="0" w:footer="879" w:gutter="0"/>
          <w:cols w:space="720" w:num="1"/>
        </w:sectPr>
      </w:pPr>
    </w:p>
    <w:p>
      <w:pPr>
        <w:pStyle w:val="168"/>
        <w:spacing w:line="580" w:lineRule="exact"/>
        <w:rPr>
          <w:rFonts w:ascii="方正仿宋_GBK" w:hAnsi="方正仿宋_GBK" w:eastAsia="方正仿宋_GBK" w:cs="方正仿宋_GBK"/>
          <w:color w:val="auto"/>
        </w:rPr>
      </w:pPr>
      <w:r>
        <w:rPr>
          <w:rFonts w:hint="eastAsia" w:ascii="方正仿宋_GBK" w:hAnsi="方正仿宋_GBK" w:eastAsia="方正仿宋_GBK" w:cs="方正仿宋_GBK"/>
          <w:color w:val="auto"/>
          <w:sz w:val="32"/>
          <w:szCs w:val="32"/>
        </w:rPr>
        <w:t>附表：</w:t>
      </w:r>
    </w:p>
    <w:p>
      <w:pPr>
        <w:pStyle w:val="168"/>
        <w:spacing w:line="580" w:lineRule="exact"/>
        <w:jc w:val="center"/>
        <w:rPr>
          <w:rFonts w:ascii="方正仿宋_GBK" w:hAnsi="方正仿宋_GBK" w:eastAsia="方正仿宋_GBK" w:cs="方正仿宋_GBK"/>
          <w:color w:val="auto"/>
        </w:rPr>
      </w:pPr>
      <w:r>
        <w:rPr>
          <w:rFonts w:hint="eastAsia" w:ascii="方正仿宋_GBK" w:hAnsi="方正仿宋_GBK" w:eastAsia="方正仿宋_GBK" w:cs="方正仿宋_GBK"/>
          <w:color w:val="auto"/>
          <w:sz w:val="32"/>
          <w:szCs w:val="32"/>
        </w:rPr>
        <w:t>线缆盘长一览表</w:t>
      </w:r>
    </w:p>
    <w:tbl>
      <w:tblPr>
        <w:tblStyle w:val="34"/>
        <w:tblW w:w="8891" w:type="dxa"/>
        <w:tblInd w:w="0" w:type="dxa"/>
        <w:tblLayout w:type="fixed"/>
        <w:tblCellMar>
          <w:top w:w="15" w:type="dxa"/>
          <w:left w:w="15" w:type="dxa"/>
          <w:bottom w:w="15" w:type="dxa"/>
          <w:right w:w="15" w:type="dxa"/>
        </w:tblCellMar>
      </w:tblPr>
      <w:tblGrid>
        <w:gridCol w:w="794"/>
        <w:gridCol w:w="2605"/>
        <w:gridCol w:w="1273"/>
        <w:gridCol w:w="1126"/>
        <w:gridCol w:w="1273"/>
        <w:gridCol w:w="918"/>
        <w:gridCol w:w="902"/>
      </w:tblGrid>
      <w:tr>
        <w:tblPrEx>
          <w:tblLayout w:type="fixed"/>
          <w:tblCellMar>
            <w:top w:w="15" w:type="dxa"/>
            <w:left w:w="15" w:type="dxa"/>
            <w:bottom w:w="15" w:type="dxa"/>
            <w:right w:w="15" w:type="dxa"/>
          </w:tblCellMar>
        </w:tblPrEx>
        <w:trPr>
          <w:trHeight w:val="600" w:hRule="atLeast"/>
        </w:trPr>
        <w:tc>
          <w:tcPr>
            <w:tcW w:w="794"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b/>
                <w:color w:val="auto"/>
                <w:sz w:val="20"/>
                <w:szCs w:val="20"/>
              </w:rPr>
            </w:pPr>
            <w:r>
              <w:rPr>
                <w:rFonts w:hint="eastAsia" w:ascii="仿宋" w:hAnsi="仿宋" w:eastAsia="仿宋" w:cs="仿宋"/>
                <w:b/>
                <w:color w:val="auto"/>
                <w:sz w:val="20"/>
                <w:szCs w:val="20"/>
                <w:lang w:eastAsia="zh-CN" w:bidi="ar"/>
              </w:rPr>
              <w:t>物料名称</w:t>
            </w: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b/>
                <w:color w:val="auto"/>
                <w:sz w:val="20"/>
                <w:szCs w:val="20"/>
              </w:rPr>
            </w:pPr>
            <w:r>
              <w:rPr>
                <w:rFonts w:hint="eastAsia" w:ascii="仿宋" w:hAnsi="仿宋" w:eastAsia="仿宋" w:cs="仿宋"/>
                <w:b/>
                <w:color w:val="auto"/>
                <w:sz w:val="20"/>
                <w:szCs w:val="20"/>
                <w:lang w:eastAsia="zh-CN" w:bidi="ar"/>
              </w:rPr>
              <w:t>物料描述</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b/>
                <w:color w:val="auto"/>
                <w:sz w:val="20"/>
                <w:szCs w:val="20"/>
              </w:rPr>
            </w:pPr>
            <w:r>
              <w:rPr>
                <w:rFonts w:hint="eastAsia" w:ascii="仿宋" w:hAnsi="仿宋" w:eastAsia="仿宋" w:cs="仿宋"/>
                <w:b/>
                <w:color w:val="auto"/>
                <w:sz w:val="20"/>
                <w:szCs w:val="20"/>
                <w:lang w:eastAsia="zh-CN" w:bidi="ar"/>
              </w:rPr>
              <w:t>标准盘长</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b/>
                <w:color w:val="auto"/>
                <w:sz w:val="20"/>
                <w:szCs w:val="20"/>
              </w:rPr>
            </w:pPr>
            <w:r>
              <w:rPr>
                <w:rFonts w:hint="eastAsia" w:ascii="仿宋" w:hAnsi="仿宋" w:eastAsia="仿宋" w:cs="仿宋"/>
                <w:b/>
                <w:color w:val="auto"/>
                <w:sz w:val="20"/>
                <w:szCs w:val="20"/>
                <w:lang w:eastAsia="zh-CN" w:bidi="ar"/>
              </w:rPr>
              <w:t>单位</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b/>
                <w:color w:val="auto"/>
                <w:sz w:val="20"/>
                <w:szCs w:val="20"/>
              </w:rPr>
            </w:pPr>
            <w:r>
              <w:rPr>
                <w:rFonts w:hint="eastAsia" w:ascii="仿宋" w:hAnsi="仿宋" w:eastAsia="仿宋" w:cs="仿宋"/>
                <w:b/>
                <w:color w:val="auto"/>
                <w:sz w:val="20"/>
                <w:szCs w:val="20"/>
                <w:lang w:eastAsia="zh-CN" w:bidi="ar"/>
              </w:rPr>
              <w:t>线缆盘材质</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b/>
                <w:color w:val="auto"/>
                <w:sz w:val="20"/>
                <w:szCs w:val="20"/>
              </w:rPr>
            </w:pPr>
            <w:r>
              <w:rPr>
                <w:rFonts w:hint="eastAsia" w:ascii="仿宋" w:hAnsi="仿宋" w:eastAsia="仿宋" w:cs="仿宋"/>
                <w:b/>
                <w:color w:val="auto"/>
                <w:sz w:val="20"/>
                <w:szCs w:val="20"/>
                <w:lang w:eastAsia="zh-CN" w:bidi="ar"/>
              </w:rPr>
              <w:t>线缆盘外径（</w:t>
            </w:r>
            <w:r>
              <w:rPr>
                <w:rStyle w:val="62"/>
                <w:rFonts w:hint="default"/>
                <w:color w:val="auto"/>
                <w:lang w:eastAsia="zh-CN" w:bidi="ar"/>
              </w:rPr>
              <w:t>cm)</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b/>
                <w:color w:val="auto"/>
                <w:sz w:val="20"/>
                <w:szCs w:val="20"/>
              </w:rPr>
            </w:pPr>
            <w:r>
              <w:rPr>
                <w:rFonts w:hint="eastAsia" w:ascii="仿宋" w:hAnsi="仿宋" w:eastAsia="仿宋" w:cs="仿宋"/>
                <w:b/>
                <w:color w:val="auto"/>
                <w:sz w:val="20"/>
                <w:szCs w:val="20"/>
                <w:lang w:eastAsia="zh-CN" w:bidi="ar"/>
              </w:rPr>
              <w:t>盘宽（</w:t>
            </w:r>
            <w:r>
              <w:rPr>
                <w:rStyle w:val="62"/>
                <w:rFonts w:hint="default"/>
                <w:color w:val="auto"/>
                <w:lang w:eastAsia="zh-CN" w:bidi="ar"/>
              </w:rPr>
              <w:t>cm)</w:t>
            </w:r>
          </w:p>
        </w:tc>
      </w:tr>
      <w:tr>
        <w:tblPrEx>
          <w:tblLayout w:type="fixed"/>
          <w:tblCellMar>
            <w:top w:w="15" w:type="dxa"/>
            <w:left w:w="15" w:type="dxa"/>
            <w:bottom w:w="15" w:type="dxa"/>
            <w:right w:w="15" w:type="dxa"/>
          </w:tblCellMar>
        </w:tblPrEx>
        <w:trPr>
          <w:trHeight w:val="286" w:hRule="atLeast"/>
        </w:trPr>
        <w:tc>
          <w:tcPr>
            <w:tcW w:w="794" w:type="dxa"/>
            <w:vMerge w:val="restart"/>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电力电缆</w:t>
            </w: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电力电缆</w:t>
            </w:r>
            <w:r>
              <w:rPr>
                <w:rStyle w:val="41"/>
                <w:rFonts w:hint="eastAsia" w:ascii="仿宋" w:hAnsi="仿宋" w:eastAsia="仿宋" w:cs="仿宋"/>
                <w:color w:val="auto"/>
                <w:lang w:eastAsia="zh-CN" w:bidi="ar"/>
              </w:rPr>
              <w:t xml:space="preserve">  AC10KV,YJV,70,3,22,ZC,</w:t>
            </w:r>
            <w:r>
              <w:rPr>
                <w:rStyle w:val="47"/>
                <w:rFonts w:hint="default" w:ascii="仿宋" w:hAnsi="仿宋" w:eastAsia="仿宋" w:cs="仿宋"/>
                <w:color w:val="auto"/>
                <w:lang w:eastAsia="zh-CN" w:bidi="ar"/>
              </w:rPr>
              <w:t>无阻水</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1200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260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电力电缆</w:t>
            </w:r>
            <w:r>
              <w:rPr>
                <w:rStyle w:val="41"/>
                <w:rFonts w:hint="eastAsia" w:ascii="仿宋" w:hAnsi="仿宋" w:eastAsia="仿宋" w:cs="仿宋"/>
                <w:color w:val="auto"/>
                <w:lang w:eastAsia="zh-CN" w:bidi="ar"/>
              </w:rPr>
              <w:t xml:space="preserve">  AC10KV,YJV,95,3,22,ZC,</w:t>
            </w:r>
            <w:r>
              <w:rPr>
                <w:rStyle w:val="47"/>
                <w:rFonts w:hint="default" w:ascii="仿宋" w:hAnsi="仿宋" w:eastAsia="仿宋" w:cs="仿宋"/>
                <w:color w:val="auto"/>
                <w:lang w:eastAsia="zh-CN" w:bidi="ar"/>
              </w:rPr>
              <w:t>无阻水</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260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电力电缆</w:t>
            </w:r>
            <w:r>
              <w:rPr>
                <w:rStyle w:val="41"/>
                <w:rFonts w:hint="eastAsia" w:ascii="仿宋" w:hAnsi="仿宋" w:eastAsia="仿宋" w:cs="仿宋"/>
                <w:color w:val="auto"/>
                <w:lang w:eastAsia="zh-CN" w:bidi="ar"/>
              </w:rPr>
              <w:t xml:space="preserve">  AC10KV,YJV,120,3,22,ZC,</w:t>
            </w:r>
            <w:r>
              <w:rPr>
                <w:rStyle w:val="47"/>
                <w:rFonts w:hint="default" w:ascii="仿宋" w:hAnsi="仿宋" w:eastAsia="仿宋" w:cs="仿宋"/>
                <w:color w:val="auto"/>
                <w:lang w:eastAsia="zh-CN" w:bidi="ar"/>
              </w:rPr>
              <w:t>无阻水</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850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260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电力电缆</w:t>
            </w:r>
            <w:r>
              <w:rPr>
                <w:rStyle w:val="41"/>
                <w:rFonts w:hint="eastAsia" w:ascii="仿宋" w:hAnsi="仿宋" w:eastAsia="仿宋" w:cs="仿宋"/>
                <w:color w:val="auto"/>
                <w:lang w:eastAsia="zh-CN" w:bidi="ar"/>
              </w:rPr>
              <w:t xml:space="preserve">  AC10KV,YJV,150,3,22,ZC,</w:t>
            </w:r>
            <w:r>
              <w:rPr>
                <w:rStyle w:val="47"/>
                <w:rFonts w:hint="default" w:ascii="仿宋" w:hAnsi="仿宋" w:eastAsia="仿宋" w:cs="仿宋"/>
                <w:color w:val="auto"/>
                <w:lang w:eastAsia="zh-CN" w:bidi="ar"/>
              </w:rPr>
              <w:t>无阻水</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700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260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电力电缆</w:t>
            </w:r>
            <w:r>
              <w:rPr>
                <w:rStyle w:val="41"/>
                <w:rFonts w:hint="eastAsia" w:ascii="仿宋" w:hAnsi="仿宋" w:eastAsia="仿宋" w:cs="仿宋"/>
                <w:color w:val="auto"/>
                <w:lang w:eastAsia="zh-CN" w:bidi="ar"/>
              </w:rPr>
              <w:t xml:space="preserve">  AC10KV,YJV,185,3,22,ZC,</w:t>
            </w:r>
            <w:r>
              <w:rPr>
                <w:rStyle w:val="47"/>
                <w:rFonts w:hint="default" w:ascii="仿宋" w:hAnsi="仿宋" w:eastAsia="仿宋" w:cs="仿宋"/>
                <w:color w:val="auto"/>
                <w:lang w:eastAsia="zh-CN" w:bidi="ar"/>
              </w:rPr>
              <w:t>无阻水</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550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260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电力电缆</w:t>
            </w:r>
            <w:r>
              <w:rPr>
                <w:rStyle w:val="41"/>
                <w:rFonts w:hint="eastAsia" w:ascii="仿宋" w:hAnsi="仿宋" w:eastAsia="仿宋" w:cs="仿宋"/>
                <w:color w:val="auto"/>
                <w:lang w:eastAsia="zh-CN" w:bidi="ar"/>
              </w:rPr>
              <w:t xml:space="preserve">  AC10KV,YJV,240,3,22,ZC,</w:t>
            </w:r>
            <w:r>
              <w:rPr>
                <w:rStyle w:val="47"/>
                <w:rFonts w:hint="default" w:ascii="仿宋" w:hAnsi="仿宋" w:eastAsia="仿宋" w:cs="仿宋"/>
                <w:color w:val="auto"/>
                <w:lang w:eastAsia="zh-CN" w:bidi="ar"/>
              </w:rPr>
              <w:t>无阻水</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260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电力电缆</w:t>
            </w:r>
            <w:r>
              <w:rPr>
                <w:rStyle w:val="41"/>
                <w:rFonts w:hint="eastAsia" w:ascii="仿宋" w:hAnsi="仿宋" w:eastAsia="仿宋" w:cs="仿宋"/>
                <w:color w:val="auto"/>
                <w:lang w:eastAsia="zh-CN" w:bidi="ar"/>
              </w:rPr>
              <w:t xml:space="preserve">  AC10KV,YJV,300,3,22,ZC,</w:t>
            </w:r>
            <w:r>
              <w:rPr>
                <w:rStyle w:val="47"/>
                <w:rFonts w:hint="default" w:ascii="仿宋" w:hAnsi="仿宋" w:eastAsia="仿宋" w:cs="仿宋"/>
                <w:color w:val="auto"/>
                <w:lang w:eastAsia="zh-CN" w:bidi="ar"/>
              </w:rPr>
              <w:t>无阻水</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550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电力电缆</w:t>
            </w:r>
            <w:r>
              <w:rPr>
                <w:rStyle w:val="41"/>
                <w:rFonts w:hint="eastAsia" w:ascii="仿宋" w:hAnsi="仿宋" w:eastAsia="仿宋" w:cs="仿宋"/>
                <w:color w:val="auto"/>
                <w:lang w:eastAsia="zh-CN" w:bidi="ar"/>
              </w:rPr>
              <w:t xml:space="preserve">  AC10KV,YJV,400,3,22,ZC,</w:t>
            </w:r>
            <w:r>
              <w:rPr>
                <w:rStyle w:val="47"/>
                <w:rFonts w:hint="default" w:ascii="仿宋" w:hAnsi="仿宋" w:eastAsia="仿宋" w:cs="仿宋"/>
                <w:color w:val="auto"/>
                <w:lang w:eastAsia="zh-CN" w:bidi="ar"/>
              </w:rPr>
              <w:t>无阻水</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restart"/>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低压电力电缆</w:t>
            </w: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18"/>
                <w:szCs w:val="18"/>
                <w:lang w:eastAsia="zh-CN"/>
              </w:rPr>
            </w:pPr>
            <w:r>
              <w:rPr>
                <w:rFonts w:hint="eastAsia" w:ascii="仿宋" w:hAnsi="仿宋" w:eastAsia="仿宋" w:cs="仿宋"/>
                <w:color w:val="auto"/>
                <w:sz w:val="18"/>
                <w:szCs w:val="18"/>
                <w:lang w:eastAsia="zh-CN" w:bidi="ar"/>
              </w:rPr>
              <w:t>低压电力电缆  YJV,铜，240,4芯，ZC,22，普通</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18"/>
                <w:szCs w:val="18"/>
                <w:lang w:eastAsia="zh-CN"/>
              </w:rPr>
            </w:pPr>
            <w:r>
              <w:rPr>
                <w:rFonts w:hint="eastAsia" w:ascii="仿宋" w:hAnsi="仿宋" w:eastAsia="仿宋" w:cs="仿宋"/>
                <w:color w:val="auto"/>
                <w:sz w:val="18"/>
                <w:szCs w:val="18"/>
                <w:lang w:eastAsia="zh-CN" w:bidi="ar"/>
              </w:rPr>
              <w:t>低压电力电缆  YJV,铜，185,4芯，ZC,22，普通</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650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18"/>
                <w:szCs w:val="18"/>
                <w:lang w:eastAsia="zh-CN"/>
              </w:rPr>
            </w:pPr>
            <w:r>
              <w:rPr>
                <w:rFonts w:hint="eastAsia" w:ascii="仿宋" w:hAnsi="仿宋" w:eastAsia="仿宋" w:cs="仿宋"/>
                <w:color w:val="auto"/>
                <w:sz w:val="18"/>
                <w:szCs w:val="18"/>
                <w:lang w:eastAsia="zh-CN" w:bidi="ar"/>
              </w:rPr>
              <w:t>低压电力电缆  YJV,铜，150,4芯，ZC,22，普通</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800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18"/>
                <w:szCs w:val="18"/>
                <w:lang w:eastAsia="zh-CN"/>
              </w:rPr>
            </w:pPr>
            <w:r>
              <w:rPr>
                <w:rFonts w:hint="eastAsia" w:ascii="仿宋" w:hAnsi="仿宋" w:eastAsia="仿宋" w:cs="仿宋"/>
                <w:color w:val="auto"/>
                <w:sz w:val="18"/>
                <w:szCs w:val="18"/>
                <w:lang w:eastAsia="zh-CN" w:bidi="ar"/>
              </w:rPr>
              <w:t>低压电力电缆  YJV,铜，120,4芯，ZC,22，普通</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900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18"/>
                <w:szCs w:val="18"/>
                <w:lang w:eastAsia="zh-CN"/>
              </w:rPr>
            </w:pPr>
            <w:r>
              <w:rPr>
                <w:rFonts w:hint="eastAsia" w:ascii="仿宋" w:hAnsi="仿宋" w:eastAsia="仿宋" w:cs="仿宋"/>
                <w:color w:val="auto"/>
                <w:sz w:val="18"/>
                <w:szCs w:val="18"/>
                <w:lang w:eastAsia="zh-CN" w:bidi="ar"/>
              </w:rPr>
              <w:t>低压电力电缆  YJV,铜，95,4芯，ZC,22，普通</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1200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18"/>
                <w:szCs w:val="18"/>
                <w:lang w:eastAsia="zh-CN"/>
              </w:rPr>
            </w:pPr>
            <w:r>
              <w:rPr>
                <w:rFonts w:hint="eastAsia" w:ascii="仿宋" w:hAnsi="仿宋" w:eastAsia="仿宋" w:cs="仿宋"/>
                <w:color w:val="auto"/>
                <w:sz w:val="18"/>
                <w:szCs w:val="18"/>
                <w:lang w:eastAsia="zh-CN" w:bidi="ar"/>
              </w:rPr>
              <w:t>低压电力电缆  YJV,铜，70,4芯，ZC,22，普通</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18"/>
                <w:szCs w:val="18"/>
                <w:lang w:eastAsia="zh-CN"/>
              </w:rPr>
            </w:pPr>
            <w:r>
              <w:rPr>
                <w:rFonts w:hint="eastAsia" w:ascii="仿宋" w:hAnsi="仿宋" w:eastAsia="仿宋" w:cs="仿宋"/>
                <w:color w:val="auto"/>
                <w:sz w:val="18"/>
                <w:szCs w:val="18"/>
                <w:lang w:eastAsia="zh-CN" w:bidi="ar"/>
              </w:rPr>
              <w:t>低压电力电缆  YJV,铜，50,4芯，ZC,22，普通</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18"/>
                <w:szCs w:val="18"/>
                <w:lang w:eastAsia="zh-CN"/>
              </w:rPr>
            </w:pPr>
            <w:r>
              <w:rPr>
                <w:rFonts w:hint="eastAsia" w:ascii="仿宋" w:hAnsi="仿宋" w:eastAsia="仿宋" w:cs="仿宋"/>
                <w:color w:val="auto"/>
                <w:sz w:val="18"/>
                <w:szCs w:val="18"/>
                <w:lang w:eastAsia="zh-CN" w:bidi="ar"/>
              </w:rPr>
              <w:t>低压电力电缆  YJV,铜，35,4芯，ZC,22，普通</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140</w:t>
            </w:r>
          </w:p>
        </w:tc>
      </w:tr>
      <w:tr>
        <w:tblPrEx>
          <w:tblLayout w:type="fixed"/>
          <w:tblCellMar>
            <w:top w:w="15" w:type="dxa"/>
            <w:left w:w="15" w:type="dxa"/>
            <w:bottom w:w="15" w:type="dxa"/>
            <w:right w:w="15" w:type="dxa"/>
          </w:tblCellMar>
        </w:tblPrEx>
        <w:trPr>
          <w:trHeight w:val="286" w:hRule="atLeast"/>
        </w:trPr>
        <w:tc>
          <w:tcPr>
            <w:tcW w:w="794" w:type="dxa"/>
            <w:vMerge w:val="restart"/>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1KV架空绝缘线</w:t>
            </w: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,AC1KV,JKLYJ,16</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10000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,AC1KV,JKLYJ,35</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8500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,AC1KV,JKLYJ,50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7000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,AC1KV,JKLYJ,70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5000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,AC1KV,JKLYJ,95</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4500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,AC1KV,JKLYJ,120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4000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,AC1KV,JKLYJ,150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3500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,AC1KV,JKLYJ,185</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3000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,AC1KV,JKLYJ,240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200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restart"/>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10KV架空绝缘线</w:t>
            </w: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,AC10KV,JKLYJ,50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5000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,AC10KV,JKLYJ,70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4500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,AC10KV,JKLYJ,95</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4000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,AC10KV,JKLYJ,120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3500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,AC10KV,JKLYJ,150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3000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,AC10KV,JKLYJ,185</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3000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180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r>
        <w:tblPrEx>
          <w:tblLayout w:type="fixed"/>
          <w:tblCellMar>
            <w:top w:w="15" w:type="dxa"/>
            <w:left w:w="15" w:type="dxa"/>
            <w:bottom w:w="15" w:type="dxa"/>
            <w:right w:w="15" w:type="dxa"/>
          </w:tblCellMar>
        </w:tblPrEx>
        <w:trPr>
          <w:trHeight w:val="286" w:hRule="atLeast"/>
        </w:trPr>
        <w:tc>
          <w:tcPr>
            <w:tcW w:w="794" w:type="dxa"/>
            <w:vMerge w:val="continue"/>
            <w:tcBorders>
              <w:top w:val="single" w:color="000000" w:sz="4" w:space="0"/>
              <w:left w:val="single" w:color="000000" w:sz="4" w:space="0"/>
              <w:bottom w:val="single" w:color="000000" w:sz="4" w:space="0"/>
              <w:right w:val="single" w:color="000000" w:sz="4" w:space="0"/>
            </w:tcBorders>
            <w:vAlign w:val="center"/>
          </w:tcPr>
          <w:p>
            <w:pPr>
              <w:spacing w:line="580" w:lineRule="exact"/>
              <w:jc w:val="center"/>
              <w:rPr>
                <w:rFonts w:ascii="仿宋" w:hAnsi="仿宋" w:eastAsia="仿宋" w:cs="仿宋"/>
                <w:color w:val="auto"/>
                <w:sz w:val="20"/>
                <w:szCs w:val="20"/>
              </w:rPr>
            </w:pPr>
          </w:p>
        </w:tc>
        <w:tc>
          <w:tcPr>
            <w:tcW w:w="2605"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lang w:eastAsia="zh-CN"/>
              </w:rPr>
            </w:pPr>
            <w:r>
              <w:rPr>
                <w:rFonts w:hint="eastAsia" w:ascii="仿宋" w:hAnsi="仿宋" w:eastAsia="仿宋" w:cs="仿宋"/>
                <w:color w:val="auto"/>
                <w:sz w:val="20"/>
                <w:szCs w:val="20"/>
                <w:lang w:eastAsia="zh-CN" w:bidi="ar"/>
              </w:rPr>
              <w:t>架空绝缘线</w:t>
            </w:r>
            <w:r>
              <w:rPr>
                <w:rStyle w:val="41"/>
                <w:rFonts w:hint="eastAsia" w:ascii="仿宋" w:hAnsi="仿宋" w:eastAsia="仿宋" w:cs="仿宋"/>
                <w:color w:val="auto"/>
                <w:lang w:eastAsia="zh-CN" w:bidi="ar"/>
              </w:rPr>
              <w:t>,AC10KV,JKLYJ,240</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2500</w:t>
            </w:r>
          </w:p>
        </w:tc>
        <w:tc>
          <w:tcPr>
            <w:tcW w:w="1126"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米</w:t>
            </w:r>
            <w:r>
              <w:rPr>
                <w:rStyle w:val="41"/>
                <w:rFonts w:hint="eastAsia" w:ascii="仿宋" w:hAnsi="仿宋" w:eastAsia="仿宋" w:cs="仿宋"/>
                <w:color w:val="auto"/>
                <w:lang w:eastAsia="zh-CN" w:bidi="ar"/>
              </w:rPr>
              <w:t>/</w:t>
            </w:r>
            <w:r>
              <w:rPr>
                <w:rStyle w:val="47"/>
                <w:rFonts w:hint="default" w:ascii="仿宋" w:hAnsi="仿宋" w:eastAsia="仿宋" w:cs="仿宋"/>
                <w:color w:val="auto"/>
                <w:lang w:eastAsia="zh-CN" w:bidi="ar"/>
              </w:rPr>
              <w:t>每盘</w:t>
            </w:r>
          </w:p>
        </w:tc>
        <w:tc>
          <w:tcPr>
            <w:tcW w:w="1273"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铁木盘</w:t>
            </w:r>
          </w:p>
        </w:tc>
        <w:tc>
          <w:tcPr>
            <w:tcW w:w="918"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200</w:t>
            </w:r>
          </w:p>
        </w:tc>
        <w:tc>
          <w:tcPr>
            <w:tcW w:w="902" w:type="dxa"/>
            <w:tcBorders>
              <w:top w:val="single" w:color="000000" w:sz="4" w:space="0"/>
              <w:left w:val="single" w:color="000000" w:sz="4" w:space="0"/>
              <w:bottom w:val="single" w:color="000000" w:sz="4" w:space="0"/>
              <w:right w:val="single" w:color="000000" w:sz="4" w:space="0"/>
            </w:tcBorders>
            <w:vAlign w:val="center"/>
          </w:tcPr>
          <w:p>
            <w:pPr>
              <w:widowControl/>
              <w:spacing w:line="580" w:lineRule="exact"/>
              <w:jc w:val="center"/>
              <w:textAlignment w:val="center"/>
              <w:rPr>
                <w:rFonts w:ascii="仿宋" w:hAnsi="仿宋" w:eastAsia="仿宋" w:cs="仿宋"/>
                <w:color w:val="auto"/>
                <w:sz w:val="20"/>
                <w:szCs w:val="20"/>
              </w:rPr>
            </w:pPr>
            <w:r>
              <w:rPr>
                <w:rFonts w:hint="eastAsia" w:ascii="仿宋" w:hAnsi="仿宋" w:eastAsia="仿宋" w:cs="仿宋"/>
                <w:color w:val="auto"/>
                <w:sz w:val="20"/>
                <w:szCs w:val="20"/>
                <w:lang w:eastAsia="zh-CN" w:bidi="ar"/>
              </w:rPr>
              <w:t>110</w:t>
            </w:r>
          </w:p>
        </w:tc>
      </w:tr>
    </w:tbl>
    <w:p>
      <w:pPr>
        <w:pStyle w:val="168"/>
        <w:spacing w:line="580" w:lineRule="exact"/>
        <w:rPr>
          <w:rFonts w:ascii="方正仿宋_GBK" w:hAnsi="方正仿宋_GBK" w:eastAsia="方正仿宋_GBK" w:cs="方正仿宋_GBK"/>
          <w:color w:val="auto"/>
        </w:rPr>
      </w:pPr>
      <w:r>
        <w:rPr>
          <w:rFonts w:hint="eastAsia" w:ascii="方正仿宋_GBK" w:hAnsi="方正仿宋_GBK" w:eastAsia="方正仿宋_GBK" w:cs="方正仿宋_GBK"/>
          <w:color w:val="auto"/>
          <w:sz w:val="32"/>
          <w:szCs w:val="32"/>
        </w:rPr>
        <w:t>备注：带钢芯的架空绝缘导线的盘长要求，等同于同截面的不带钢芯的架空绝缘导线的盘长要求。</w:t>
      </w:r>
    </w:p>
    <w:p>
      <w:pPr>
        <w:rPr>
          <w:color w:val="auto"/>
          <w:lang w:eastAsia="zh-CN"/>
        </w:rPr>
      </w:pPr>
    </w:p>
    <w:p>
      <w:pPr>
        <w:widowControl/>
        <w:rPr>
          <w:color w:val="auto"/>
          <w:lang w:eastAsia="zh-CN"/>
        </w:rPr>
      </w:pPr>
      <w:r>
        <w:rPr>
          <w:color w:val="auto"/>
          <w:lang w:eastAsia="zh-CN"/>
        </w:rPr>
        <w:br w:type="page"/>
      </w:r>
    </w:p>
    <w:p>
      <w:pPr>
        <w:widowControl/>
        <w:rPr>
          <w:rFonts w:ascii="仿宋" w:hAnsi="仿宋" w:eastAsia="仿宋"/>
          <w:b/>
          <w:color w:val="auto"/>
          <w:sz w:val="30"/>
          <w:szCs w:val="28"/>
          <w:lang w:eastAsia="zh-CN"/>
        </w:rPr>
      </w:pPr>
      <w:r>
        <w:rPr>
          <w:rFonts w:ascii="仿宋" w:hAnsi="仿宋" w:eastAsia="仿宋"/>
          <w:b/>
          <w:color w:val="auto"/>
          <w:sz w:val="30"/>
          <w:szCs w:val="28"/>
          <w:lang w:eastAsia="zh-CN"/>
        </w:rPr>
        <w:br w:type="page"/>
      </w:r>
    </w:p>
    <w:p>
      <w:pPr>
        <w:widowControl/>
        <w:spacing w:line="380" w:lineRule="exact"/>
        <w:ind w:firstLine="422" w:firstLineChars="200"/>
        <w:rPr>
          <w:rFonts w:ascii="宋体" w:hAnsi="宋体"/>
          <w:b/>
          <w:color w:val="auto"/>
          <w:sz w:val="21"/>
          <w:szCs w:val="21"/>
          <w:lang w:eastAsia="zh-CN"/>
        </w:rPr>
      </w:pPr>
      <w:r>
        <w:rPr>
          <w:rFonts w:hint="eastAsia" w:ascii="宋体" w:hAnsi="宋体"/>
          <w:b/>
          <w:color w:val="auto"/>
          <w:sz w:val="21"/>
          <w:szCs w:val="21"/>
          <w:lang w:eastAsia="zh-CN"/>
        </w:rPr>
        <w:t>钢管杆、铁构件价格联动说明</w:t>
      </w:r>
    </w:p>
    <w:p>
      <w:pPr>
        <w:widowControl/>
        <w:spacing w:line="380" w:lineRule="exact"/>
        <w:ind w:firstLine="422" w:firstLineChars="200"/>
        <w:rPr>
          <w:rFonts w:ascii="宋体" w:hAnsi="宋体"/>
          <w:b/>
          <w:color w:val="auto"/>
          <w:sz w:val="21"/>
          <w:szCs w:val="21"/>
          <w:lang w:eastAsia="zh-CN"/>
        </w:rPr>
      </w:pPr>
      <w:r>
        <w:rPr>
          <w:rFonts w:hint="eastAsia" w:ascii="宋体" w:hAnsi="宋体"/>
          <w:b/>
          <w:color w:val="auto"/>
          <w:sz w:val="21"/>
          <w:szCs w:val="21"/>
          <w:lang w:eastAsia="zh-CN"/>
        </w:rPr>
        <w:t>本次招标新增钢管杆、铁构件分标钢材价格联动。</w:t>
      </w:r>
    </w:p>
    <w:p>
      <w:pPr>
        <w:widowControl/>
        <w:spacing w:line="380" w:lineRule="exact"/>
        <w:ind w:firstLine="422" w:firstLineChars="200"/>
        <w:rPr>
          <w:rFonts w:ascii="宋体" w:hAnsi="宋体"/>
          <w:b/>
          <w:color w:val="auto"/>
          <w:sz w:val="21"/>
          <w:szCs w:val="21"/>
          <w:lang w:eastAsia="zh-CN"/>
        </w:rPr>
      </w:pPr>
      <w:r>
        <w:rPr>
          <w:rFonts w:ascii="宋体" w:hAnsi="宋体"/>
          <w:b/>
          <w:color w:val="auto"/>
          <w:sz w:val="21"/>
          <w:szCs w:val="21"/>
          <w:lang w:eastAsia="zh-CN"/>
        </w:rPr>
        <w:t>1</w:t>
      </w:r>
      <w:r>
        <w:rPr>
          <w:rFonts w:hint="eastAsia" w:ascii="宋体" w:hAnsi="宋体"/>
          <w:b/>
          <w:color w:val="auto"/>
          <w:sz w:val="21"/>
          <w:szCs w:val="21"/>
          <w:lang w:eastAsia="zh-CN"/>
        </w:rPr>
        <w:t>．价格联动公式为：P</w:t>
      </w:r>
      <w:r>
        <w:rPr>
          <w:rFonts w:ascii="宋体" w:hAnsi="宋体"/>
          <w:b/>
          <w:color w:val="auto"/>
          <w:sz w:val="21"/>
          <w:szCs w:val="21"/>
          <w:lang w:eastAsia="zh-CN"/>
        </w:rPr>
        <w:t>=P0+K*(B-A)</w:t>
      </w:r>
    </w:p>
    <w:p>
      <w:pPr>
        <w:widowControl/>
        <w:spacing w:line="380" w:lineRule="exact"/>
        <w:ind w:firstLine="422" w:firstLineChars="200"/>
        <w:rPr>
          <w:rFonts w:ascii="宋体" w:hAnsi="宋体"/>
          <w:b/>
          <w:color w:val="auto"/>
          <w:sz w:val="21"/>
          <w:szCs w:val="21"/>
          <w:lang w:eastAsia="zh-CN"/>
        </w:rPr>
      </w:pPr>
      <w:r>
        <w:rPr>
          <w:rFonts w:hint="eastAsia" w:ascii="宋体" w:hAnsi="宋体"/>
          <w:b/>
          <w:color w:val="auto"/>
          <w:sz w:val="21"/>
          <w:szCs w:val="21"/>
          <w:lang w:eastAsia="zh-CN"/>
        </w:rPr>
        <w:t>其中：A为投标截止日“我的钢铁网”（h</w:t>
      </w:r>
      <w:r>
        <w:rPr>
          <w:rFonts w:ascii="宋体" w:hAnsi="宋体"/>
          <w:b/>
          <w:color w:val="auto"/>
          <w:sz w:val="21"/>
          <w:szCs w:val="21"/>
          <w:lang w:eastAsia="zh-CN"/>
        </w:rPr>
        <w:t>ttp://www.mysteel.com</w:t>
      </w:r>
      <w:r>
        <w:rPr>
          <w:rFonts w:hint="eastAsia" w:ascii="宋体" w:hAnsi="宋体"/>
          <w:b/>
          <w:color w:val="auto"/>
          <w:sz w:val="21"/>
          <w:szCs w:val="21"/>
          <w:lang w:eastAsia="zh-CN"/>
        </w:rPr>
        <w:t>）”公布的角钢50*50*5及5#Q235 角钢日均价均值（全国平均价，按照元/吨计算）；</w:t>
      </w:r>
    </w:p>
    <w:p>
      <w:pPr>
        <w:widowControl/>
        <w:spacing w:line="380" w:lineRule="exact"/>
        <w:ind w:firstLine="422" w:firstLineChars="200"/>
        <w:rPr>
          <w:rFonts w:ascii="宋体" w:hAnsi="宋体"/>
          <w:b/>
          <w:color w:val="auto"/>
          <w:sz w:val="21"/>
          <w:szCs w:val="21"/>
          <w:lang w:eastAsia="zh-CN"/>
        </w:rPr>
      </w:pPr>
      <w:r>
        <w:rPr>
          <w:rFonts w:hint="eastAsia" w:ascii="宋体" w:hAnsi="宋体"/>
          <w:b/>
          <w:color w:val="auto"/>
          <w:sz w:val="21"/>
          <w:szCs w:val="21"/>
          <w:lang w:eastAsia="zh-CN"/>
        </w:rPr>
        <w:t>B为合同供货单签发日上一周“我的钢铁网”（h</w:t>
      </w:r>
      <w:r>
        <w:rPr>
          <w:rFonts w:ascii="宋体" w:hAnsi="宋体"/>
          <w:b/>
          <w:color w:val="auto"/>
          <w:sz w:val="21"/>
          <w:szCs w:val="21"/>
          <w:lang w:eastAsia="zh-CN"/>
        </w:rPr>
        <w:t>ttp://www.mysteel.com</w:t>
      </w:r>
      <w:r>
        <w:rPr>
          <w:rFonts w:hint="eastAsia" w:ascii="宋体" w:hAnsi="宋体"/>
          <w:b/>
          <w:color w:val="auto"/>
          <w:sz w:val="21"/>
          <w:szCs w:val="21"/>
          <w:lang w:eastAsia="zh-CN"/>
        </w:rPr>
        <w:t>）”公布的角钢50*50*5及5#Q235 角钢日均价均值（全国平均价，按照元/吨计算）；</w:t>
      </w:r>
    </w:p>
    <w:p>
      <w:pPr>
        <w:widowControl/>
        <w:spacing w:line="380" w:lineRule="exact"/>
        <w:ind w:firstLine="422" w:firstLineChars="200"/>
        <w:rPr>
          <w:rFonts w:ascii="宋体" w:hAnsi="宋体"/>
          <w:b/>
          <w:color w:val="auto"/>
          <w:sz w:val="21"/>
          <w:szCs w:val="21"/>
          <w:lang w:eastAsia="zh-CN"/>
        </w:rPr>
      </w:pPr>
      <w:r>
        <w:rPr>
          <w:rFonts w:hint="eastAsia" w:ascii="宋体" w:hAnsi="宋体"/>
          <w:b/>
          <w:color w:val="auto"/>
          <w:sz w:val="21"/>
          <w:szCs w:val="21"/>
          <w:lang w:eastAsia="zh-CN"/>
        </w:rPr>
        <w:t>P</w:t>
      </w:r>
      <w:r>
        <w:rPr>
          <w:rFonts w:ascii="宋体" w:hAnsi="宋体"/>
          <w:b/>
          <w:color w:val="auto"/>
          <w:sz w:val="21"/>
          <w:szCs w:val="21"/>
          <w:lang w:eastAsia="zh-CN"/>
        </w:rPr>
        <w:t>0</w:t>
      </w:r>
      <w:r>
        <w:rPr>
          <w:rFonts w:hint="eastAsia" w:ascii="宋体" w:hAnsi="宋体"/>
          <w:b/>
          <w:color w:val="auto"/>
          <w:sz w:val="21"/>
          <w:szCs w:val="21"/>
          <w:lang w:eastAsia="zh-CN"/>
        </w:rPr>
        <w:t>为招标时的中标单价（元/吨）；</w:t>
      </w:r>
    </w:p>
    <w:p>
      <w:pPr>
        <w:widowControl/>
        <w:spacing w:line="380" w:lineRule="exact"/>
        <w:ind w:firstLine="422" w:firstLineChars="200"/>
        <w:rPr>
          <w:rFonts w:ascii="宋体" w:hAnsi="宋体"/>
          <w:b/>
          <w:color w:val="auto"/>
          <w:sz w:val="21"/>
          <w:szCs w:val="21"/>
          <w:lang w:eastAsia="zh-CN"/>
        </w:rPr>
      </w:pPr>
      <w:r>
        <w:rPr>
          <w:rFonts w:hint="eastAsia" w:ascii="宋体" w:hAnsi="宋体"/>
          <w:b/>
          <w:color w:val="auto"/>
          <w:sz w:val="21"/>
          <w:szCs w:val="21"/>
          <w:lang w:eastAsia="zh-CN"/>
        </w:rPr>
        <w:t>K值根据不同物资品类详见</w:t>
      </w:r>
      <w:r>
        <w:rPr>
          <w:rFonts w:ascii="宋体" w:hAnsi="宋体"/>
          <w:b/>
          <w:color w:val="auto"/>
          <w:sz w:val="21"/>
          <w:szCs w:val="21"/>
          <w:lang w:eastAsia="zh-CN"/>
        </w:rPr>
        <w:t>3</w:t>
      </w:r>
      <w:r>
        <w:rPr>
          <w:rFonts w:hint="eastAsia" w:ascii="宋体" w:hAnsi="宋体"/>
          <w:b/>
          <w:color w:val="auto"/>
          <w:sz w:val="21"/>
          <w:szCs w:val="21"/>
          <w:lang w:eastAsia="zh-CN"/>
        </w:rPr>
        <w:t>表；</w:t>
      </w:r>
    </w:p>
    <w:p>
      <w:pPr>
        <w:widowControl/>
        <w:spacing w:line="380" w:lineRule="exact"/>
        <w:ind w:firstLine="422" w:firstLineChars="200"/>
        <w:rPr>
          <w:rFonts w:ascii="宋体" w:hAnsi="宋体"/>
          <w:b/>
          <w:color w:val="auto"/>
          <w:sz w:val="21"/>
          <w:szCs w:val="21"/>
          <w:lang w:eastAsia="zh-CN"/>
        </w:rPr>
      </w:pPr>
      <w:r>
        <w:rPr>
          <w:rFonts w:hint="eastAsia" w:ascii="宋体" w:hAnsi="宋体"/>
          <w:b/>
          <w:color w:val="auto"/>
          <w:sz w:val="21"/>
          <w:szCs w:val="21"/>
          <w:lang w:eastAsia="zh-CN"/>
        </w:rPr>
        <w:t>若|</w:t>
      </w:r>
      <w:r>
        <w:rPr>
          <w:rFonts w:ascii="宋体" w:hAnsi="宋体"/>
          <w:b/>
          <w:color w:val="auto"/>
          <w:sz w:val="21"/>
          <w:szCs w:val="21"/>
          <w:lang w:eastAsia="zh-CN"/>
        </w:rPr>
        <w:t>(B-A)</w:t>
      </w:r>
      <w:r>
        <w:rPr>
          <w:rFonts w:hint="eastAsia" w:ascii="宋体" w:hAnsi="宋体"/>
          <w:b/>
          <w:color w:val="auto"/>
          <w:sz w:val="21"/>
          <w:szCs w:val="21"/>
          <w:lang w:eastAsia="zh-CN"/>
        </w:rPr>
        <w:t>/</w:t>
      </w:r>
      <w:r>
        <w:rPr>
          <w:rFonts w:ascii="宋体" w:hAnsi="宋体"/>
          <w:b/>
          <w:color w:val="auto"/>
          <w:sz w:val="21"/>
          <w:szCs w:val="21"/>
          <w:lang w:eastAsia="zh-CN"/>
        </w:rPr>
        <w:t>A</w:t>
      </w:r>
      <w:r>
        <w:rPr>
          <w:rFonts w:hint="eastAsia" w:ascii="宋体" w:hAnsi="宋体"/>
          <w:b/>
          <w:color w:val="auto"/>
          <w:sz w:val="21"/>
          <w:szCs w:val="21"/>
          <w:lang w:eastAsia="zh-CN"/>
        </w:rPr>
        <w:t>|＜</w:t>
      </w:r>
      <w:r>
        <w:rPr>
          <w:rFonts w:ascii="宋体" w:hAnsi="宋体"/>
          <w:b/>
          <w:color w:val="auto"/>
          <w:sz w:val="21"/>
          <w:szCs w:val="21"/>
          <w:lang w:eastAsia="zh-CN"/>
        </w:rPr>
        <w:t>3%</w:t>
      </w:r>
      <w:r>
        <w:rPr>
          <w:rFonts w:hint="eastAsia" w:ascii="宋体" w:hAnsi="宋体"/>
          <w:b/>
          <w:color w:val="auto"/>
          <w:sz w:val="21"/>
          <w:szCs w:val="21"/>
          <w:lang w:eastAsia="zh-CN"/>
        </w:rPr>
        <w:t>时，执行中标单价；</w:t>
      </w:r>
    </w:p>
    <w:p>
      <w:pPr>
        <w:widowControl/>
        <w:spacing w:line="380" w:lineRule="exact"/>
        <w:ind w:firstLine="422" w:firstLineChars="200"/>
        <w:rPr>
          <w:rFonts w:ascii="宋体" w:hAnsi="宋体"/>
          <w:b/>
          <w:color w:val="auto"/>
          <w:sz w:val="21"/>
          <w:szCs w:val="21"/>
          <w:lang w:eastAsia="zh-CN"/>
        </w:rPr>
      </w:pPr>
      <w:r>
        <w:rPr>
          <w:rFonts w:hint="eastAsia" w:ascii="宋体" w:hAnsi="宋体"/>
          <w:b/>
          <w:color w:val="auto"/>
          <w:sz w:val="21"/>
          <w:szCs w:val="21"/>
          <w:lang w:eastAsia="zh-CN"/>
        </w:rPr>
        <w:t>若|</w:t>
      </w:r>
      <w:r>
        <w:rPr>
          <w:rFonts w:ascii="宋体" w:hAnsi="宋体"/>
          <w:b/>
          <w:color w:val="auto"/>
          <w:sz w:val="21"/>
          <w:szCs w:val="21"/>
          <w:lang w:eastAsia="zh-CN"/>
        </w:rPr>
        <w:t>(B-A)</w:t>
      </w:r>
      <w:r>
        <w:rPr>
          <w:rFonts w:hint="eastAsia" w:ascii="宋体" w:hAnsi="宋体"/>
          <w:b/>
          <w:color w:val="auto"/>
          <w:sz w:val="21"/>
          <w:szCs w:val="21"/>
          <w:lang w:eastAsia="zh-CN"/>
        </w:rPr>
        <w:t>/</w:t>
      </w:r>
      <w:r>
        <w:rPr>
          <w:rFonts w:ascii="宋体" w:hAnsi="宋体"/>
          <w:b/>
          <w:color w:val="auto"/>
          <w:sz w:val="21"/>
          <w:szCs w:val="21"/>
          <w:lang w:eastAsia="zh-CN"/>
        </w:rPr>
        <w:t>A</w:t>
      </w:r>
      <w:r>
        <w:rPr>
          <w:rFonts w:hint="eastAsia" w:ascii="宋体" w:hAnsi="宋体"/>
          <w:b/>
          <w:color w:val="auto"/>
          <w:sz w:val="21"/>
          <w:szCs w:val="21"/>
          <w:lang w:eastAsia="zh-CN"/>
        </w:rPr>
        <w:t>|≥</w:t>
      </w:r>
      <w:r>
        <w:rPr>
          <w:rFonts w:ascii="宋体" w:hAnsi="宋体"/>
          <w:b/>
          <w:color w:val="auto"/>
          <w:sz w:val="21"/>
          <w:szCs w:val="21"/>
          <w:lang w:eastAsia="zh-CN"/>
        </w:rPr>
        <w:t>3%</w:t>
      </w:r>
      <w:r>
        <w:rPr>
          <w:rFonts w:hint="eastAsia" w:ascii="宋体" w:hAnsi="宋体"/>
          <w:b/>
          <w:color w:val="auto"/>
          <w:sz w:val="21"/>
          <w:szCs w:val="21"/>
          <w:lang w:eastAsia="zh-CN"/>
        </w:rPr>
        <w:t>时，价格按公式计算并联动。</w:t>
      </w:r>
    </w:p>
    <w:p>
      <w:pPr>
        <w:widowControl/>
        <w:spacing w:line="380" w:lineRule="exact"/>
        <w:ind w:firstLine="422" w:firstLineChars="200"/>
        <w:rPr>
          <w:rFonts w:ascii="宋体" w:hAnsi="宋体"/>
          <w:b/>
          <w:color w:val="auto"/>
          <w:sz w:val="21"/>
          <w:szCs w:val="21"/>
          <w:lang w:eastAsia="zh-CN"/>
        </w:rPr>
      </w:pPr>
      <w:r>
        <w:rPr>
          <w:rFonts w:ascii="宋体" w:hAnsi="宋体"/>
          <w:b/>
          <w:color w:val="auto"/>
          <w:sz w:val="21"/>
          <w:szCs w:val="21"/>
          <w:lang w:eastAsia="zh-CN"/>
        </w:rPr>
        <w:t>2</w:t>
      </w:r>
      <w:r>
        <w:rPr>
          <w:rFonts w:hint="eastAsia" w:ascii="宋体" w:hAnsi="宋体"/>
          <w:b/>
          <w:color w:val="auto"/>
          <w:sz w:val="21"/>
          <w:szCs w:val="21"/>
          <w:lang w:eastAsia="zh-CN"/>
        </w:rPr>
        <w:t>．原材料与物料对应关系如下：</w:t>
      </w:r>
    </w:p>
    <w:tbl>
      <w:tblPr>
        <w:tblStyle w:val="34"/>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61"/>
        <w:gridCol w:w="4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361"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原材料名称</w:t>
            </w:r>
          </w:p>
        </w:tc>
        <w:tc>
          <w:tcPr>
            <w:tcW w:w="4716"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物料名称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361" w:type="dxa"/>
          </w:tcPr>
          <w:p>
            <w:pPr>
              <w:widowControl/>
              <w:spacing w:line="380" w:lineRule="exact"/>
              <w:jc w:val="center"/>
              <w:rPr>
                <w:rFonts w:ascii="宋体" w:hAnsi="宋体"/>
                <w:bCs/>
                <w:color w:val="auto"/>
                <w:sz w:val="21"/>
                <w:szCs w:val="21"/>
                <w:lang w:eastAsia="zh-CN"/>
              </w:rPr>
            </w:pPr>
            <w:bookmarkStart w:id="0" w:name="_Hlk67491329"/>
            <w:r>
              <w:rPr>
                <w:rFonts w:hint="eastAsia" w:ascii="宋体" w:hAnsi="宋体"/>
                <w:bCs/>
                <w:color w:val="auto"/>
                <w:sz w:val="21"/>
                <w:szCs w:val="21"/>
                <w:lang w:eastAsia="zh-CN"/>
              </w:rPr>
              <w:t>角钢5</w:t>
            </w:r>
            <w:r>
              <w:rPr>
                <w:rFonts w:ascii="宋体" w:hAnsi="宋体"/>
                <w:bCs/>
                <w:color w:val="auto"/>
                <w:sz w:val="21"/>
                <w:szCs w:val="21"/>
                <w:lang w:eastAsia="zh-CN"/>
              </w:rPr>
              <w:t>0</w:t>
            </w:r>
            <w:r>
              <w:rPr>
                <w:rFonts w:hint="eastAsia" w:ascii="宋体" w:hAnsi="宋体"/>
                <w:bCs/>
                <w:color w:val="auto"/>
                <w:sz w:val="21"/>
                <w:szCs w:val="21"/>
                <w:lang w:eastAsia="zh-CN"/>
              </w:rPr>
              <w:t>*</w:t>
            </w:r>
            <w:r>
              <w:rPr>
                <w:rFonts w:ascii="宋体" w:hAnsi="宋体"/>
                <w:bCs/>
                <w:color w:val="auto"/>
                <w:sz w:val="21"/>
                <w:szCs w:val="21"/>
                <w:lang w:eastAsia="zh-CN"/>
              </w:rPr>
              <w:t>50</w:t>
            </w:r>
            <w:r>
              <w:rPr>
                <w:rFonts w:hint="eastAsia" w:ascii="宋体" w:hAnsi="宋体"/>
                <w:bCs/>
                <w:color w:val="auto"/>
                <w:sz w:val="21"/>
                <w:szCs w:val="21"/>
                <w:lang w:eastAsia="zh-CN"/>
              </w:rPr>
              <w:t>*</w:t>
            </w:r>
            <w:r>
              <w:rPr>
                <w:rFonts w:ascii="宋体" w:hAnsi="宋体"/>
                <w:bCs/>
                <w:color w:val="auto"/>
                <w:sz w:val="21"/>
                <w:szCs w:val="21"/>
                <w:lang w:eastAsia="zh-CN"/>
              </w:rPr>
              <w:t>5</w:t>
            </w:r>
            <w:bookmarkEnd w:id="0"/>
          </w:p>
        </w:tc>
        <w:tc>
          <w:tcPr>
            <w:tcW w:w="4716" w:type="dxa"/>
          </w:tcPr>
          <w:p>
            <w:pPr>
              <w:widowControl/>
              <w:spacing w:line="380" w:lineRule="exact"/>
              <w:jc w:val="center"/>
              <w:rPr>
                <w:rFonts w:ascii="宋体" w:hAnsi="宋体"/>
                <w:bCs/>
                <w:color w:val="auto"/>
                <w:sz w:val="21"/>
                <w:szCs w:val="21"/>
                <w:lang w:eastAsia="zh-CN"/>
              </w:rPr>
            </w:pPr>
            <w:r>
              <w:rPr>
                <w:rFonts w:hint="eastAsia" w:ascii="宋体" w:hAnsi="宋体"/>
                <w:bCs/>
                <w:color w:val="auto"/>
                <w:sz w:val="21"/>
                <w:szCs w:val="21"/>
                <w:lang w:eastAsia="zh-CN"/>
              </w:rPr>
              <w:t>钢管杆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361" w:type="dxa"/>
          </w:tcPr>
          <w:p>
            <w:pPr>
              <w:widowControl/>
              <w:spacing w:line="380" w:lineRule="exact"/>
              <w:jc w:val="center"/>
              <w:rPr>
                <w:rFonts w:ascii="宋体" w:hAnsi="宋体"/>
                <w:bCs/>
                <w:color w:val="auto"/>
                <w:sz w:val="21"/>
                <w:szCs w:val="21"/>
                <w:lang w:eastAsia="zh-CN"/>
              </w:rPr>
            </w:pPr>
            <w:bookmarkStart w:id="1" w:name="_Hlk67491340"/>
            <w:r>
              <w:rPr>
                <w:rFonts w:hint="eastAsia" w:ascii="宋体" w:hAnsi="宋体"/>
                <w:bCs/>
                <w:color w:val="auto"/>
                <w:sz w:val="21"/>
                <w:szCs w:val="21"/>
                <w:lang w:eastAsia="zh-CN"/>
              </w:rPr>
              <w:t>5#Q</w:t>
            </w:r>
            <w:r>
              <w:rPr>
                <w:rFonts w:ascii="宋体" w:hAnsi="宋体"/>
                <w:bCs/>
                <w:color w:val="auto"/>
                <w:sz w:val="21"/>
                <w:szCs w:val="21"/>
                <w:lang w:eastAsia="zh-CN"/>
              </w:rPr>
              <w:t xml:space="preserve">235 </w:t>
            </w:r>
            <w:r>
              <w:rPr>
                <w:rFonts w:hint="eastAsia" w:ascii="宋体" w:hAnsi="宋体"/>
                <w:bCs/>
                <w:color w:val="auto"/>
                <w:sz w:val="21"/>
                <w:szCs w:val="21"/>
                <w:lang w:eastAsia="zh-CN"/>
              </w:rPr>
              <w:t>角钢</w:t>
            </w:r>
            <w:bookmarkEnd w:id="1"/>
          </w:p>
        </w:tc>
        <w:tc>
          <w:tcPr>
            <w:tcW w:w="4716" w:type="dxa"/>
          </w:tcPr>
          <w:p>
            <w:pPr>
              <w:widowControl/>
              <w:spacing w:line="380" w:lineRule="exact"/>
              <w:jc w:val="center"/>
              <w:rPr>
                <w:rFonts w:ascii="宋体" w:hAnsi="宋体"/>
                <w:bCs/>
                <w:color w:val="auto"/>
                <w:sz w:val="21"/>
                <w:szCs w:val="21"/>
                <w:lang w:eastAsia="zh-CN"/>
              </w:rPr>
            </w:pPr>
            <w:r>
              <w:rPr>
                <w:rFonts w:hint="eastAsia" w:ascii="宋体" w:hAnsi="宋体"/>
                <w:bCs/>
                <w:color w:val="auto"/>
                <w:sz w:val="21"/>
                <w:szCs w:val="21"/>
                <w:lang w:eastAsia="zh-CN"/>
              </w:rPr>
              <w:t>铁构件</w:t>
            </w:r>
          </w:p>
        </w:tc>
      </w:tr>
    </w:tbl>
    <w:p>
      <w:pPr>
        <w:widowControl/>
        <w:spacing w:line="380" w:lineRule="exact"/>
        <w:ind w:firstLine="422" w:firstLineChars="200"/>
        <w:rPr>
          <w:rFonts w:ascii="宋体" w:hAnsi="宋体"/>
          <w:b/>
          <w:color w:val="auto"/>
          <w:sz w:val="21"/>
          <w:szCs w:val="21"/>
          <w:lang w:eastAsia="zh-CN"/>
        </w:rPr>
      </w:pPr>
      <w:r>
        <w:rPr>
          <w:rFonts w:ascii="宋体" w:hAnsi="宋体"/>
          <w:b/>
          <w:color w:val="auto"/>
          <w:sz w:val="21"/>
          <w:szCs w:val="21"/>
          <w:lang w:eastAsia="zh-CN"/>
        </w:rPr>
        <w:t>3</w:t>
      </w:r>
      <w:r>
        <w:rPr>
          <w:rFonts w:hint="eastAsia" w:ascii="宋体" w:hAnsi="宋体"/>
          <w:b/>
          <w:color w:val="auto"/>
          <w:sz w:val="21"/>
          <w:szCs w:val="21"/>
          <w:lang w:eastAsia="zh-CN"/>
        </w:rPr>
        <w:t>．钢管杆及铁构件K值如下表所示：</w:t>
      </w:r>
    </w:p>
    <w:tbl>
      <w:tblPr>
        <w:tblStyle w:val="34"/>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9"/>
        <w:gridCol w:w="2092"/>
        <w:gridCol w:w="2446"/>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69"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分标名称</w:t>
            </w:r>
          </w:p>
        </w:tc>
        <w:tc>
          <w:tcPr>
            <w:tcW w:w="2092"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计量单位</w:t>
            </w:r>
          </w:p>
        </w:tc>
        <w:tc>
          <w:tcPr>
            <w:tcW w:w="2446"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系数K（kg</w:t>
            </w:r>
            <w:r>
              <w:rPr>
                <w:rFonts w:ascii="宋体" w:hAnsi="宋体"/>
                <w:b/>
                <w:color w:val="auto"/>
                <w:sz w:val="21"/>
                <w:szCs w:val="21"/>
                <w:lang w:eastAsia="zh-CN"/>
              </w:rPr>
              <w:t>/</w:t>
            </w:r>
            <w:r>
              <w:rPr>
                <w:rFonts w:hint="eastAsia" w:ascii="宋体" w:hAnsi="宋体"/>
                <w:b/>
                <w:color w:val="auto"/>
                <w:sz w:val="21"/>
                <w:szCs w:val="21"/>
                <w:lang w:eastAsia="zh-CN"/>
              </w:rPr>
              <w:t>计量单位）</w:t>
            </w:r>
          </w:p>
        </w:tc>
        <w:tc>
          <w:tcPr>
            <w:tcW w:w="2270"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69"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钢管杆</w:t>
            </w:r>
          </w:p>
        </w:tc>
        <w:tc>
          <w:tcPr>
            <w:tcW w:w="2092"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吨</w:t>
            </w:r>
          </w:p>
        </w:tc>
        <w:tc>
          <w:tcPr>
            <w:tcW w:w="2446"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1</w:t>
            </w:r>
          </w:p>
        </w:tc>
        <w:tc>
          <w:tcPr>
            <w:tcW w:w="2270" w:type="dxa"/>
          </w:tcPr>
          <w:p>
            <w:pPr>
              <w:widowControl/>
              <w:spacing w:line="380" w:lineRule="exact"/>
              <w:jc w:val="center"/>
              <w:rPr>
                <w:rFonts w:ascii="宋体" w:hAnsi="宋体"/>
                <w:b/>
                <w:color w:val="auto"/>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69"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铁构件</w:t>
            </w:r>
          </w:p>
        </w:tc>
        <w:tc>
          <w:tcPr>
            <w:tcW w:w="2092"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吨</w:t>
            </w:r>
          </w:p>
        </w:tc>
        <w:tc>
          <w:tcPr>
            <w:tcW w:w="2446" w:type="dxa"/>
          </w:tcPr>
          <w:p>
            <w:pPr>
              <w:widowControl/>
              <w:spacing w:line="380" w:lineRule="exact"/>
              <w:jc w:val="center"/>
              <w:rPr>
                <w:rFonts w:ascii="宋体" w:hAnsi="宋体"/>
                <w:b/>
                <w:color w:val="auto"/>
                <w:sz w:val="21"/>
                <w:szCs w:val="21"/>
                <w:lang w:eastAsia="zh-CN"/>
              </w:rPr>
            </w:pPr>
            <w:r>
              <w:rPr>
                <w:rFonts w:hint="eastAsia" w:ascii="宋体" w:hAnsi="宋体"/>
                <w:b/>
                <w:color w:val="auto"/>
                <w:sz w:val="21"/>
                <w:szCs w:val="21"/>
                <w:lang w:eastAsia="zh-CN"/>
              </w:rPr>
              <w:t>1</w:t>
            </w:r>
          </w:p>
        </w:tc>
        <w:tc>
          <w:tcPr>
            <w:tcW w:w="2270" w:type="dxa"/>
          </w:tcPr>
          <w:p>
            <w:pPr>
              <w:widowControl/>
              <w:spacing w:line="380" w:lineRule="exact"/>
              <w:jc w:val="center"/>
              <w:rPr>
                <w:rFonts w:ascii="宋体" w:hAnsi="宋体"/>
                <w:b/>
                <w:color w:val="auto"/>
                <w:sz w:val="21"/>
                <w:szCs w:val="21"/>
                <w:lang w:eastAsia="zh-CN"/>
              </w:rPr>
            </w:pPr>
          </w:p>
        </w:tc>
      </w:tr>
    </w:tbl>
    <w:p>
      <w:pPr>
        <w:widowControl/>
        <w:rPr>
          <w:rFonts w:hint="eastAsia"/>
          <w:color w:val="auto"/>
          <w:lang w:eastAsia="zh-CN"/>
        </w:rPr>
      </w:pPr>
      <w:r>
        <w:rPr>
          <w:rFonts w:hint="eastAsia"/>
          <w:color w:val="auto"/>
          <w:lang w:eastAsia="zh-CN"/>
        </w:rPr>
        <w:br w:type="page"/>
      </w:r>
    </w:p>
    <w:p>
      <w:pPr>
        <w:keepNext w:val="0"/>
        <w:keepLines w:val="0"/>
        <w:widowControl w:val="0"/>
        <w:suppressLineNumbers w:val="0"/>
        <w:autoSpaceDE w:val="0"/>
        <w:autoSpaceDN/>
        <w:spacing w:before="0" w:beforeAutospacing="0" w:after="0" w:afterAutospacing="0" w:line="520" w:lineRule="exact"/>
        <w:ind w:left="0" w:right="0" w:firstLine="640" w:firstLineChars="200"/>
        <w:jc w:val="both"/>
        <w:rPr>
          <w:rFonts w:hint="default"/>
          <w:lang w:val="en-US" w:eastAsia="zh-CN"/>
        </w:rPr>
      </w:pPr>
      <w:r>
        <w:rPr>
          <w:rFonts w:hint="eastAsia" w:ascii="方正仿宋_GBK" w:hAnsi="方正仿宋_GBK" w:eastAsia="方正仿宋_GBK" w:cs="方正仿宋_GBK"/>
          <w:b w:val="0"/>
          <w:kern w:val="2"/>
          <w:sz w:val="32"/>
          <w:szCs w:val="32"/>
          <w:highlight w:val="none"/>
          <w:lang w:val="en-US" w:eastAsia="zh-CN" w:bidi="ar"/>
        </w:rPr>
        <w:t>1、供应商应使用“供应商获取实物ID编码及标签制作规范”微应用获取实物“ID”和二维码图案，按照《电网资产统一身份编码物联网标签制作安装指导手册（增量分册）》，进行设备铭牌一体化二维码标签的制作、安装，同时安装RFID标签。</w:t>
      </w:r>
      <w:bookmarkStart w:id="2" w:name="_MON_1666600842"/>
      <w:bookmarkEnd w:id="2"/>
    </w:p>
    <w:p>
      <w:pPr>
        <w:keepNext w:val="0"/>
        <w:keepLines w:val="0"/>
        <w:widowControl w:val="0"/>
        <w:suppressLineNumbers w:val="0"/>
        <w:autoSpaceDE w:val="0"/>
        <w:autoSpaceDN/>
        <w:spacing w:before="0" w:beforeAutospacing="0" w:after="0" w:afterAutospacing="0" w:line="520" w:lineRule="exact"/>
        <w:ind w:left="0" w:right="0" w:firstLine="640" w:firstLineChars="200"/>
        <w:jc w:val="both"/>
        <w:rPr>
          <w:rFonts w:hint="eastAsia" w:ascii="方正仿宋_GBK" w:hAnsi="方正仿宋_GBK" w:eastAsia="方正仿宋_GBK" w:cs="方正仿宋_GBK"/>
          <w:b w:val="0"/>
          <w:bCs/>
          <w:kern w:val="2"/>
          <w:sz w:val="32"/>
          <w:szCs w:val="32"/>
          <w:highlight w:val="none"/>
          <w:lang w:val="en-US" w:eastAsia="zh-CN" w:bidi="ar"/>
        </w:rPr>
      </w:pPr>
      <w:r>
        <w:rPr>
          <w:rFonts w:hint="eastAsia" w:ascii="方正仿宋_GBK" w:hAnsi="方正仿宋_GBK" w:eastAsia="方正仿宋_GBK" w:cs="方正仿宋_GBK"/>
          <w:b w:val="0"/>
          <w:bCs/>
          <w:kern w:val="2"/>
          <w:sz w:val="32"/>
          <w:szCs w:val="32"/>
          <w:highlight w:val="none"/>
          <w:lang w:val="en-US" w:eastAsia="zh-CN" w:bidi="ar"/>
        </w:rPr>
        <w:t>2、实物ID赋码范围物资外包装标示卡（示例）</w:t>
      </w:r>
    </w:p>
    <w:p>
      <w:pPr>
        <w:pStyle w:val="2"/>
        <w:jc w:val="center"/>
        <w:rPr>
          <w:rFonts w:hint="eastAsia"/>
          <w:lang w:val="en-US" w:eastAsia="zh-CN"/>
        </w:rPr>
      </w:pPr>
      <w:r>
        <w:object>
          <v:shape id="_x0000_i1025" o:spt="75" type="#_x0000_t75" style="height:209.7pt;width:254.45pt;" o:ole="t" filled="f" o:preferrelative="t"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tbl>
      <w:tblPr>
        <w:tblStyle w:val="35"/>
        <w:tblW w:w="662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5"/>
        <w:gridCol w:w="36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55"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供应商名称</w:t>
            </w:r>
          </w:p>
        </w:tc>
        <w:tc>
          <w:tcPr>
            <w:tcW w:w="3666"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xxx有限公司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55"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物资型号</w:t>
            </w:r>
          </w:p>
        </w:tc>
        <w:tc>
          <w:tcPr>
            <w:tcW w:w="3666"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eastAsia="zh-CN"/>
              </w:rPr>
            </w:pPr>
            <w:r>
              <w:rPr>
                <w:rFonts w:hint="eastAsia" w:ascii="方正仿宋_GBK" w:hAnsi="方正仿宋_GBK" w:eastAsia="方正仿宋_GBK" w:cs="方正仿宋_GBK"/>
                <w:b w:val="0"/>
                <w:bCs w:val="0"/>
                <w:sz w:val="28"/>
                <w:szCs w:val="28"/>
                <w:vertAlign w:val="baseline"/>
                <w:lang w:val="en-US" w:eastAsia="zh-CN"/>
              </w:rPr>
              <w:t>AC400V电缆分支箱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55"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采购订单</w:t>
            </w:r>
          </w:p>
        </w:tc>
        <w:tc>
          <w:tcPr>
            <w:tcW w:w="3666"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2600045321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55"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采购订单行项目</w:t>
            </w:r>
          </w:p>
        </w:tc>
        <w:tc>
          <w:tcPr>
            <w:tcW w:w="3666"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55"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生产日期</w:t>
            </w:r>
          </w:p>
        </w:tc>
        <w:tc>
          <w:tcPr>
            <w:tcW w:w="3666"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2024/1/1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55"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xxx</w:t>
            </w:r>
          </w:p>
        </w:tc>
        <w:tc>
          <w:tcPr>
            <w:tcW w:w="3666" w:type="dxa"/>
            <w:noWrap w:val="0"/>
            <w:vAlign w:val="top"/>
          </w:tcPr>
          <w:p>
            <w:pPr>
              <w:tabs>
                <w:tab w:val="left" w:pos="2760"/>
              </w:tabs>
              <w:bidi w:val="0"/>
              <w:jc w:val="center"/>
              <w:rPr>
                <w:rFonts w:hint="eastAsia" w:ascii="方正仿宋_GBK" w:hAnsi="方正仿宋_GBK" w:eastAsia="方正仿宋_GBK" w:cs="方正仿宋_GBK"/>
                <w:b w:val="0"/>
                <w:bCs w:val="0"/>
                <w:sz w:val="28"/>
                <w:szCs w:val="28"/>
                <w:vertAlign w:val="baseline"/>
                <w:lang w:val="en-US" w:eastAsia="zh-CN"/>
              </w:rPr>
            </w:pPr>
            <w:r>
              <w:rPr>
                <w:rFonts w:hint="eastAsia" w:ascii="方正仿宋_GBK" w:hAnsi="方正仿宋_GBK" w:eastAsia="方正仿宋_GBK" w:cs="方正仿宋_GBK"/>
                <w:b w:val="0"/>
                <w:bCs w:val="0"/>
                <w:sz w:val="28"/>
                <w:szCs w:val="28"/>
                <w:vertAlign w:val="baseline"/>
                <w:lang w:val="en-US" w:eastAsia="zh-CN"/>
              </w:rPr>
              <w:t>xxx</w:t>
            </w:r>
          </w:p>
        </w:tc>
      </w:tr>
    </w:tbl>
    <w:p>
      <w:pPr>
        <w:jc w:val="center"/>
      </w:pPr>
    </w:p>
    <w:p>
      <w:pPr>
        <w:rPr>
          <w:rFonts w:hint="eastAsia"/>
          <w:lang w:val="en-US" w:eastAsia="zh-CN"/>
        </w:rPr>
      </w:pPr>
      <w:r>
        <w:rPr>
          <w:rFonts w:hint="eastAsia"/>
          <w:b/>
          <w:bCs/>
          <w:lang w:val="en-US" w:eastAsia="zh-CN"/>
        </w:rPr>
        <w:t>备注：</w:t>
      </w:r>
      <w:r>
        <w:rPr>
          <w:rFonts w:hint="eastAsia"/>
          <w:lang w:val="en-US" w:eastAsia="zh-CN"/>
        </w:rPr>
        <w:t>发货前须在外包装醒目位置(优选面积较大、表面较平整的侧立面右上角）打印粘贴标示卡。</w:t>
      </w:r>
    </w:p>
    <w:p>
      <w:pPr>
        <w:keepNext w:val="0"/>
        <w:keepLines w:val="0"/>
        <w:widowControl w:val="0"/>
        <w:suppressLineNumbers w:val="0"/>
        <w:autoSpaceDE w:val="0"/>
        <w:autoSpaceDN/>
        <w:spacing w:before="0" w:beforeAutospacing="0" w:after="0" w:afterAutospacing="0" w:line="520" w:lineRule="exact"/>
        <w:ind w:left="0" w:right="0" w:firstLine="640" w:firstLineChars="200"/>
        <w:jc w:val="both"/>
        <w:rPr>
          <w:rFonts w:hint="eastAsia" w:ascii="方正仿宋_GBK" w:hAnsi="方正仿宋_GBK" w:eastAsia="方正仿宋_GBK" w:cs="方正仿宋_GBK"/>
          <w:b w:val="0"/>
          <w:kern w:val="2"/>
          <w:sz w:val="32"/>
          <w:szCs w:val="32"/>
          <w:highlight w:val="yellow"/>
        </w:rPr>
      </w:pPr>
      <w:r>
        <w:rPr>
          <w:rFonts w:hint="eastAsia" w:ascii="方正仿宋_GBK" w:hAnsi="方正仿宋_GBK" w:eastAsia="方正仿宋_GBK" w:cs="方正仿宋_GBK"/>
          <w:b w:val="0"/>
          <w:kern w:val="2"/>
          <w:sz w:val="32"/>
          <w:szCs w:val="32"/>
          <w:highlight w:val="none"/>
          <w:lang w:val="en-US" w:eastAsia="zh-CN" w:bidi="ar"/>
        </w:rPr>
        <w:t>3、中标人承担设备实物ID标签的制作、安装任务，所需费用包含于成交价格内，请各投标人根据自身情况将费用填写于投标报价分项中,中标人在货物装箱运输前，应按照招标人要求完成实物ID标签的制作、安装等工作。2、卖方未能按照以上约定在外包装醒目位置粘贴标示卡，买方有权退货，因此造成的逾期责任由卖方承担，买方有权根据合同违约责任条款向卖方索赔违约金。如卖方货物外包装标识卡实物ID编码与设备铭牌实物ID不符，涉及抽检的，买方有权进行加倍抽检，相关结果由卖方承担。</w:t>
      </w:r>
    </w:p>
    <w:p>
      <w:pPr>
        <w:keepNext w:val="0"/>
        <w:keepLines w:val="0"/>
        <w:widowControl w:val="0"/>
        <w:suppressLineNumbers w:val="0"/>
        <w:autoSpaceDE w:val="0"/>
        <w:autoSpaceDN/>
        <w:spacing w:before="0" w:beforeAutospacing="0" w:after="0" w:afterAutospacing="0" w:line="520" w:lineRule="exact"/>
        <w:ind w:left="0" w:right="0" w:firstLine="640" w:firstLineChars="200"/>
        <w:jc w:val="both"/>
        <w:rPr>
          <w:rFonts w:hint="eastAsia" w:ascii="方正仿宋_GBK" w:hAnsi="方正仿宋_GBK" w:eastAsia="方正仿宋_GBK" w:cs="方正仿宋_GBK"/>
          <w:b w:val="0"/>
          <w:kern w:val="2"/>
          <w:sz w:val="32"/>
          <w:szCs w:val="32"/>
          <w:highlight w:val="none"/>
          <w:lang w:val="en-US" w:eastAsia="zh-CN" w:bidi="ar"/>
        </w:rPr>
      </w:pPr>
      <w:r>
        <w:rPr>
          <w:rFonts w:hint="eastAsia" w:ascii="方正仿宋_GBK" w:hAnsi="方正仿宋_GBK" w:eastAsia="方正仿宋_GBK" w:cs="方正仿宋_GBK"/>
          <w:b w:val="0"/>
          <w:kern w:val="2"/>
          <w:sz w:val="32"/>
          <w:szCs w:val="32"/>
          <w:highlight w:val="none"/>
          <w:lang w:val="en-US" w:eastAsia="zh-CN" w:bidi="ar"/>
        </w:rPr>
        <w:t>4、国网山西省电力公司对于超高性能混凝土杆、锥形水泥杆应用防撕贴作为收货和抽检随机取样的识别码。防撕贴由买方提供。卖方负责确认厂内存放的买方货物范围，在厂内完成防撕贴粘贴。</w:t>
      </w:r>
    </w:p>
    <w:p>
      <w:pPr>
        <w:pStyle w:val="12"/>
        <w:ind w:firstLine="0"/>
        <w:rPr>
          <w:rFonts w:hint="eastAsia"/>
          <w:lang w:eastAsia="zh-CN"/>
        </w:rPr>
      </w:pPr>
      <w:r>
        <w:rPr>
          <w:rFonts w:hint="eastAsia" w:ascii="方正仿宋_GBK" w:hAnsi="方正仿宋_GBK" w:eastAsia="方正仿宋_GBK" w:cs="方正仿宋_GBK"/>
          <w:b w:val="0"/>
          <w:kern w:val="2"/>
          <w:sz w:val="32"/>
          <w:szCs w:val="32"/>
          <w:highlight w:val="none"/>
          <w:lang w:val="en-US" w:eastAsia="zh-CN" w:bidi="ar"/>
        </w:rPr>
        <w:t>5、卖方发出货物未粘贴防撕贴，买方有权退货，因此造成的逾期责任由卖方承担，买方有权根据合同违约责任条款向卖方索赔违约金。</w:t>
      </w:r>
    </w:p>
    <w:sectPr>
      <w:headerReference r:id="rId5" w:type="default"/>
      <w:footerReference r:id="rId6" w:type="default"/>
      <w:type w:val="nextColumn"/>
      <w:pgSz w:w="12240" w:h="15840"/>
      <w:pgMar w:top="1503" w:right="1678" w:bottom="1123" w:left="1701" w:header="0" w:footer="87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仿宋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tabs>
        <w:tab w:val="center" w:pos="4320"/>
        <w:tab w:val="right" w:pos="8640"/>
      </w:tabs>
      <w:ind w:right="22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矩形 1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pStyle w:val="22"/>
                            <w:tabs>
                              <w:tab w:val="center" w:pos="4320"/>
                              <w:tab w:val="right" w:pos="8640"/>
                            </w:tabs>
                            <w:ind w:right="220"/>
                            <w:jc w:val="center"/>
                          </w:pPr>
                        </w:p>
                      </w:txbxContent>
                    </wps:txbx>
                    <wps:bodyPr wrap="none" lIns="0" tIns="0" rIns="0" bIns="0" upright="1">
                      <a:spAutoFit/>
                    </wps:bodyPr>
                  </wps:wsp>
                </a:graphicData>
              </a:graphic>
            </wp:anchor>
          </w:drawing>
        </mc:Choice>
        <mc:Fallback>
          <w:pict>
            <v:rect id="矩形 1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Ll1uVLQAAAABQEAAA8AAAAAAAAAAQAg&#10;AAAAIgAAAGRycy9kb3ducmV2LnhtbFBLAQIUABQAAAAIAIdO4kDGwd2JpAEAAD8DAAAOAAAAAAAA&#10;AAEAIAAAAB8BAABkcnMvZTJvRG9jLnhtbFBLBQYAAAAABgAGAFkBAAA1BQAAAAA=&#10;">
              <v:fill on="f" focussize="0,0"/>
              <v:stroke on="f"/>
              <v:imagedata o:title=""/>
              <o:lock v:ext="edit" aspectratio="f"/>
              <v:textbox inset="0mm,0mm,0mm,0mm" style="mso-fit-shape-to-text:t;">
                <w:txbxContent>
                  <w:p>
                    <w:pPr>
                      <w:pStyle w:val="22"/>
                      <w:tabs>
                        <w:tab w:val="center" w:pos="4320"/>
                        <w:tab w:val="right" w:pos="8640"/>
                      </w:tabs>
                      <w:ind w:right="220"/>
                      <w:jc w:val="center"/>
                    </w:pP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tabs>
        <w:tab w:val="center" w:pos="4320"/>
        <w:tab w:val="right" w:pos="8640"/>
      </w:tabs>
      <w:ind w:right="22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pStyle w:val="22"/>
                            <w:tabs>
                              <w:tab w:val="center" w:pos="4320"/>
                              <w:tab w:val="right" w:pos="8640"/>
                            </w:tabs>
                            <w:ind w:right="220"/>
                            <w:jc w:val="center"/>
                          </w:pPr>
                        </w:p>
                      </w:txbxContent>
                    </wps:txbx>
                    <wps:bodyPr wrap="none" lIns="0" tIns="0" rIns="0" bIns="0" upright="1">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C5dblS0AAAAAUBAAAPAAAAAAAA&#10;AAEAIAAAACIAAABkcnMvZG93bnJldi54bWxQSwECFAAUAAAACACHTuJA01L0P6gBAABBAwAADgAA&#10;AAAAAAABACAAAAAfAQAAZHJzL2Uyb0RvYy54bWxQSwUGAAAAAAYABgBZAQAAOQUAAAAA&#10;">
              <v:fill on="f" focussize="0,0"/>
              <v:stroke on="f"/>
              <v:imagedata o:title=""/>
              <o:lock v:ext="edit" aspectratio="f"/>
              <v:textbox inset="0mm,0mm,0mm,0mm" style="mso-fit-shape-to-text:t;">
                <w:txbxContent>
                  <w:p>
                    <w:pPr>
                      <w:pStyle w:val="22"/>
                      <w:tabs>
                        <w:tab w:val="center" w:pos="4320"/>
                        <w:tab w:val="right" w:pos="8640"/>
                      </w:tabs>
                      <w:ind w:right="220"/>
                      <w:jc w:val="center"/>
                    </w:pP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tabs>
        <w:tab w:val="center" w:pos="4320"/>
        <w:tab w:val="right" w:pos="8640"/>
      </w:tabs>
      <w:ind w:right="22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矩形 4"/>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pStyle w:val="22"/>
                            <w:tabs>
                              <w:tab w:val="center" w:pos="4320"/>
                              <w:tab w:val="right" w:pos="8640"/>
                            </w:tabs>
                            <w:ind w:right="220"/>
                            <w:jc w:val="center"/>
                          </w:pPr>
                          <w:r>
                            <w:fldChar w:fldCharType="begin"/>
                          </w:r>
                          <w:r>
                            <w:instrText xml:space="preserve"> PAGE   \* MERGEFORMAT </w:instrText>
                          </w:r>
                          <w:r>
                            <w:fldChar w:fldCharType="separate"/>
                          </w:r>
                          <w:r>
                            <w:rPr>
                              <w:lang w:val="en-US" w:eastAsia="zh-CN"/>
                            </w:rPr>
                            <w:t>18</w:t>
                          </w:r>
                          <w:r>
                            <w:rPr>
                              <w:lang w:val="zh-CN"/>
                            </w:rPr>
                            <w:fldChar w:fldCharType="end"/>
                          </w:r>
                        </w:p>
                      </w:txbxContent>
                    </wps:txbx>
                    <wps:bodyPr wrap="none" lIns="0" tIns="0" rIns="0" bIns="0" upright="1">
                      <a:spAutoFit/>
                    </wps:bodyPr>
                  </wps:wsp>
                </a:graphicData>
              </a:graphic>
            </wp:anchor>
          </w:drawing>
        </mc:Choice>
        <mc:Fallback>
          <w:pict>
            <v:rect id="矩形 4"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C5dblS0AAAAAUBAAAPAAAAAAAAAAEA&#10;IAAAACIAAABkcnMvZG93bnJldi54bWxQSwECFAAUAAAACACHTuJARj+7jqUBAAA+AwAADgAAAAAA&#10;AAABACAAAAAfAQAAZHJzL2Uyb0RvYy54bWxQSwUGAAAAAAYABgBZAQAANgUAAAAA&#10;">
              <v:fill on="f" focussize="0,0"/>
              <v:stroke on="f"/>
              <v:imagedata o:title=""/>
              <o:lock v:ext="edit" aspectratio="f"/>
              <v:textbox inset="0mm,0mm,0mm,0mm" style="mso-fit-shape-to-text:t;">
                <w:txbxContent>
                  <w:p>
                    <w:pPr>
                      <w:pStyle w:val="22"/>
                      <w:tabs>
                        <w:tab w:val="center" w:pos="4320"/>
                        <w:tab w:val="right" w:pos="8640"/>
                      </w:tabs>
                      <w:ind w:right="220"/>
                      <w:jc w:val="center"/>
                    </w:pPr>
                    <w:r>
                      <w:fldChar w:fldCharType="begin"/>
                    </w:r>
                    <w:r>
                      <w:instrText xml:space="preserve"> PAGE   \* MERGEFORMAT </w:instrText>
                    </w:r>
                    <w:r>
                      <w:fldChar w:fldCharType="separate"/>
                    </w:r>
                    <w:r>
                      <w:rPr>
                        <w:lang w:val="en-US" w:eastAsia="zh-CN"/>
                      </w:rPr>
                      <w:t>18</w:t>
                    </w:r>
                    <w:r>
                      <w:rPr>
                        <w:lang w:val="zh-CN"/>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ascii="宋体" w:hAnsi="宋体"/>
      </w:rPr>
    </w:pPr>
    <w:bookmarkStart w:id="3" w:name="code2"/>
    <w:bookmarkEnd w:id="3"/>
    <w:r>
      <w:rPr>
        <w:rFonts w:hint="eastAsia"/>
      </w:rPr>
      <w:t xml:space="preserve">                                     </w:t>
    </w:r>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106"/>
      <w:lvlText w:val="%1."/>
      <w:lvlJc w:val="left"/>
      <w:pPr>
        <w:tabs>
          <w:tab w:val="left" w:pos="1200"/>
        </w:tabs>
        <w:ind w:left="1200" w:hanging="360"/>
      </w:pPr>
    </w:lvl>
  </w:abstractNum>
  <w:abstractNum w:abstractNumId="1">
    <w:nsid w:val="FFFFFF7F"/>
    <w:multiLevelType w:val="singleLevel"/>
    <w:tmpl w:val="FFFFFF7F"/>
    <w:lvl w:ilvl="0" w:tentative="0">
      <w:start w:val="1"/>
      <w:numFmt w:val="decimal"/>
      <w:pStyle w:val="170"/>
      <w:lvlText w:val="%1."/>
      <w:lvlJc w:val="left"/>
      <w:pPr>
        <w:tabs>
          <w:tab w:val="left" w:pos="780"/>
        </w:tabs>
        <w:ind w:left="780" w:hanging="360"/>
      </w:pPr>
    </w:lvl>
  </w:abstractNum>
  <w:abstractNum w:abstractNumId="2">
    <w:nsid w:val="FFFFFF81"/>
    <w:multiLevelType w:val="singleLevel"/>
    <w:tmpl w:val="FFFFFF81"/>
    <w:lvl w:ilvl="0" w:tentative="0">
      <w:start w:val="1"/>
      <w:numFmt w:val="bullet"/>
      <w:pStyle w:val="109"/>
      <w:lvlText w:val=""/>
      <w:lvlJc w:val="left"/>
      <w:pPr>
        <w:tabs>
          <w:tab w:val="left" w:pos="1620"/>
        </w:tabs>
        <w:ind w:left="1620" w:hanging="360"/>
      </w:pPr>
      <w:rPr>
        <w:rFonts w:hint="default" w:ascii="Wingdings" w:hAnsi="Wingdings"/>
      </w:rPr>
    </w:lvl>
  </w:abstractNum>
  <w:abstractNum w:abstractNumId="3">
    <w:nsid w:val="FFFFFF82"/>
    <w:multiLevelType w:val="singleLevel"/>
    <w:tmpl w:val="FFFFFF82"/>
    <w:lvl w:ilvl="0" w:tentative="0">
      <w:start w:val="1"/>
      <w:numFmt w:val="bullet"/>
      <w:pStyle w:val="155"/>
      <w:lvlText w:val=""/>
      <w:lvlJc w:val="left"/>
      <w:pPr>
        <w:tabs>
          <w:tab w:val="left" w:pos="1200"/>
        </w:tabs>
        <w:ind w:left="1200" w:hanging="360"/>
      </w:pPr>
      <w:rPr>
        <w:rFonts w:hint="default" w:ascii="Wingdings" w:hAnsi="Wingdings"/>
      </w:rPr>
    </w:lvl>
  </w:abstractNum>
  <w:abstractNum w:abstractNumId="4">
    <w:nsid w:val="FFFFFF88"/>
    <w:multiLevelType w:val="singleLevel"/>
    <w:tmpl w:val="FFFFFF88"/>
    <w:lvl w:ilvl="0" w:tentative="0">
      <w:start w:val="1"/>
      <w:numFmt w:val="decimal"/>
      <w:pStyle w:val="16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82"/>
      <w:lvlText w:val=""/>
      <w:lvlJc w:val="left"/>
      <w:pPr>
        <w:tabs>
          <w:tab w:val="left" w:pos="360"/>
        </w:tabs>
        <w:ind w:left="360" w:hanging="360"/>
      </w:pPr>
      <w:rPr>
        <w:rFonts w:hint="default" w:ascii="Wingdings" w:hAnsi="Wingdings"/>
      </w:rPr>
    </w:lvl>
  </w:abstractNum>
  <w:abstractNum w:abstractNumId="6">
    <w:nsid w:val="228F0037"/>
    <w:multiLevelType w:val="multilevel"/>
    <w:tmpl w:val="228F0037"/>
    <w:lvl w:ilvl="0" w:tentative="0">
      <w:start w:val="1"/>
      <w:numFmt w:val="decimal"/>
      <w:pStyle w:val="181"/>
      <w:lvlText w:val="%1."/>
      <w:lvlJc w:val="left"/>
      <w:pPr>
        <w:ind w:left="720" w:hanging="360"/>
      </w:pPr>
      <w:rPr>
        <w:rFonts w:hint="default"/>
      </w:rPr>
    </w:lvl>
    <w:lvl w:ilvl="1" w:tentative="0">
      <w:start w:val="1"/>
      <w:numFmt w:val="lowerLetter"/>
      <w:pStyle w:val="136"/>
      <w:lvlText w:val="%2)"/>
      <w:lvlJc w:val="left"/>
      <w:pPr>
        <w:ind w:left="1200" w:hanging="420"/>
      </w:pPr>
    </w:lvl>
    <w:lvl w:ilvl="2" w:tentative="0">
      <w:start w:val="1"/>
      <w:numFmt w:val="lowerRoman"/>
      <w:pStyle w:val="158"/>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
    <w:nsid w:val="56900E54"/>
    <w:multiLevelType w:val="multilevel"/>
    <w:tmpl w:val="56900E54"/>
    <w:lvl w:ilvl="0" w:tentative="0">
      <w:start w:val="1"/>
      <w:numFmt w:val="bullet"/>
      <w:pStyle w:val="133"/>
      <w:lvlText w:val=""/>
      <w:lvlJc w:val="left"/>
      <w:pPr>
        <w:ind w:left="420" w:hanging="420"/>
      </w:pPr>
      <w:rPr>
        <w:rFonts w:hint="default" w:ascii="Wingdings" w:hAnsi="Wingdings"/>
      </w:rPr>
    </w:lvl>
    <w:lvl w:ilvl="1" w:tentative="0">
      <w:start w:val="1"/>
      <w:numFmt w:val="bullet"/>
      <w:pStyle w:val="95"/>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78A22F81"/>
    <w:multiLevelType w:val="multilevel"/>
    <w:tmpl w:val="78A22F81"/>
    <w:lvl w:ilvl="0" w:tentative="0">
      <w:start w:val="1"/>
      <w:numFmt w:val="decimal"/>
      <w:pStyle w:val="128"/>
      <w:lvlText w:val="%1."/>
      <w:lvlJc w:val="left"/>
      <w:pPr>
        <w:ind w:left="704" w:hanging="420"/>
      </w:p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7"/>
  </w:num>
  <w:num w:numId="2">
    <w:abstractNumId w:val="0"/>
  </w:num>
  <w:num w:numId="3">
    <w:abstractNumId w:val="2"/>
  </w:num>
  <w:num w:numId="4">
    <w:abstractNumId w:val="8"/>
  </w:num>
  <w:num w:numId="5">
    <w:abstractNumId w:val="6"/>
  </w:num>
  <w:num w:numId="6">
    <w:abstractNumId w:val="3"/>
  </w:num>
  <w:num w:numId="7">
    <w:abstractNumId w:val="4"/>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NotTrackMoves/>
  <w:trackRevisions w:val="1"/>
  <w:documentProtection w:enforcement="0"/>
  <w:defaultTabStop w:val="720"/>
  <w:drawingGridHorizontalSpacing w:val="110"/>
  <w:displayHorizontalDrawingGridEvery w:val="1"/>
  <w:displayVerticalDrawingGridEvery w:val="1"/>
  <w:noPunctuationKerning w:val="1"/>
  <w:characterSpacingControl w:val="doNotCompress"/>
  <w:noLineBreaksAfter w:lang="zh-CN" w:val="([{·‘“〈《「『【〔〖（．［｛￡￥"/>
  <w:noLineBreaksBefore w:lang="zh-CN" w:val="!),.:;?]}¨·ˇˉ―‖’”…∶、。〃々〉》」』】〕〗！＂＇），．：；？］｀｜｝～￠"/>
  <w:hdrShapeDefaults>
    <o:shapelayout v:ext="edit">
      <o:idmap v:ext="edit" data="1"/>
    </o:shapelayout>
  </w:hdrShapeDefault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5NjljZjQ3MjVjYzExYzUxMGEzNDJmYmEwZjQ3OTAifQ=="/>
  </w:docVars>
  <w:rsids>
    <w:rsidRoot w:val="00E103AB"/>
    <w:rsid w:val="0000059F"/>
    <w:rsid w:val="00000713"/>
    <w:rsid w:val="00006E0F"/>
    <w:rsid w:val="00015148"/>
    <w:rsid w:val="00017B51"/>
    <w:rsid w:val="00020B7B"/>
    <w:rsid w:val="00021008"/>
    <w:rsid w:val="00021D45"/>
    <w:rsid w:val="000226D5"/>
    <w:rsid w:val="00022CFD"/>
    <w:rsid w:val="0002386E"/>
    <w:rsid w:val="00023E7D"/>
    <w:rsid w:val="00027BCD"/>
    <w:rsid w:val="00032076"/>
    <w:rsid w:val="000324B5"/>
    <w:rsid w:val="00032A8D"/>
    <w:rsid w:val="0003581B"/>
    <w:rsid w:val="00035C33"/>
    <w:rsid w:val="000379F4"/>
    <w:rsid w:val="0004273C"/>
    <w:rsid w:val="000440F1"/>
    <w:rsid w:val="00047B0D"/>
    <w:rsid w:val="00050E51"/>
    <w:rsid w:val="00052BAB"/>
    <w:rsid w:val="00053386"/>
    <w:rsid w:val="00065236"/>
    <w:rsid w:val="00067A92"/>
    <w:rsid w:val="00070D0E"/>
    <w:rsid w:val="00071E6F"/>
    <w:rsid w:val="0007355F"/>
    <w:rsid w:val="0007741E"/>
    <w:rsid w:val="00084E48"/>
    <w:rsid w:val="00085FCC"/>
    <w:rsid w:val="00086D28"/>
    <w:rsid w:val="000931DC"/>
    <w:rsid w:val="00094FA3"/>
    <w:rsid w:val="00095806"/>
    <w:rsid w:val="00097538"/>
    <w:rsid w:val="000A2B64"/>
    <w:rsid w:val="000B1298"/>
    <w:rsid w:val="000B2133"/>
    <w:rsid w:val="000B321D"/>
    <w:rsid w:val="000B6F14"/>
    <w:rsid w:val="000C0D31"/>
    <w:rsid w:val="000C3256"/>
    <w:rsid w:val="000D0250"/>
    <w:rsid w:val="000D10CA"/>
    <w:rsid w:val="000D3533"/>
    <w:rsid w:val="000D4B22"/>
    <w:rsid w:val="000D583F"/>
    <w:rsid w:val="000E049A"/>
    <w:rsid w:val="000E6617"/>
    <w:rsid w:val="000F1A48"/>
    <w:rsid w:val="000F5C99"/>
    <w:rsid w:val="000F6AF0"/>
    <w:rsid w:val="000F6E9D"/>
    <w:rsid w:val="00101E6D"/>
    <w:rsid w:val="00104E03"/>
    <w:rsid w:val="00113D63"/>
    <w:rsid w:val="001146DF"/>
    <w:rsid w:val="00117517"/>
    <w:rsid w:val="00117DBD"/>
    <w:rsid w:val="001220CA"/>
    <w:rsid w:val="001312EC"/>
    <w:rsid w:val="00133D94"/>
    <w:rsid w:val="00146790"/>
    <w:rsid w:val="00147140"/>
    <w:rsid w:val="001512AA"/>
    <w:rsid w:val="001512CE"/>
    <w:rsid w:val="0015215F"/>
    <w:rsid w:val="00161BD4"/>
    <w:rsid w:val="00163B2C"/>
    <w:rsid w:val="00177E52"/>
    <w:rsid w:val="0018196F"/>
    <w:rsid w:val="00183CF5"/>
    <w:rsid w:val="00184DD0"/>
    <w:rsid w:val="0019283F"/>
    <w:rsid w:val="00194EFE"/>
    <w:rsid w:val="001B1AC9"/>
    <w:rsid w:val="001B3DCA"/>
    <w:rsid w:val="001B4942"/>
    <w:rsid w:val="001B5308"/>
    <w:rsid w:val="001B6112"/>
    <w:rsid w:val="001C286E"/>
    <w:rsid w:val="001C4523"/>
    <w:rsid w:val="001D4F8E"/>
    <w:rsid w:val="001D58AC"/>
    <w:rsid w:val="001D72E3"/>
    <w:rsid w:val="001E0C63"/>
    <w:rsid w:val="001E0E18"/>
    <w:rsid w:val="001E787C"/>
    <w:rsid w:val="001F0C9C"/>
    <w:rsid w:val="001F0EA8"/>
    <w:rsid w:val="001F14DA"/>
    <w:rsid w:val="001F27D4"/>
    <w:rsid w:val="001F7D03"/>
    <w:rsid w:val="00201C4E"/>
    <w:rsid w:val="002059BA"/>
    <w:rsid w:val="002063FA"/>
    <w:rsid w:val="00206604"/>
    <w:rsid w:val="00206A44"/>
    <w:rsid w:val="00206C0B"/>
    <w:rsid w:val="00207088"/>
    <w:rsid w:val="00211C59"/>
    <w:rsid w:val="00217475"/>
    <w:rsid w:val="00217806"/>
    <w:rsid w:val="002225AC"/>
    <w:rsid w:val="00223132"/>
    <w:rsid w:val="00225833"/>
    <w:rsid w:val="002427E8"/>
    <w:rsid w:val="002434EE"/>
    <w:rsid w:val="00244EAE"/>
    <w:rsid w:val="00245E7A"/>
    <w:rsid w:val="00245ECB"/>
    <w:rsid w:val="00246869"/>
    <w:rsid w:val="00247599"/>
    <w:rsid w:val="002514F3"/>
    <w:rsid w:val="002543CB"/>
    <w:rsid w:val="00254832"/>
    <w:rsid w:val="00256A60"/>
    <w:rsid w:val="00257606"/>
    <w:rsid w:val="00261A61"/>
    <w:rsid w:val="0026231D"/>
    <w:rsid w:val="00262AED"/>
    <w:rsid w:val="00262B28"/>
    <w:rsid w:val="00262CA0"/>
    <w:rsid w:val="00272D37"/>
    <w:rsid w:val="00272E0D"/>
    <w:rsid w:val="00276B6C"/>
    <w:rsid w:val="00285F24"/>
    <w:rsid w:val="00290AE6"/>
    <w:rsid w:val="0029258B"/>
    <w:rsid w:val="00292BDF"/>
    <w:rsid w:val="00293C35"/>
    <w:rsid w:val="00293C8D"/>
    <w:rsid w:val="00294B4C"/>
    <w:rsid w:val="002A0E45"/>
    <w:rsid w:val="002A1721"/>
    <w:rsid w:val="002A1F79"/>
    <w:rsid w:val="002A5ADC"/>
    <w:rsid w:val="002B1A46"/>
    <w:rsid w:val="002B59C6"/>
    <w:rsid w:val="002C1B86"/>
    <w:rsid w:val="002C47D9"/>
    <w:rsid w:val="002C6107"/>
    <w:rsid w:val="002D2160"/>
    <w:rsid w:val="002D47EF"/>
    <w:rsid w:val="002D4DA3"/>
    <w:rsid w:val="002D5050"/>
    <w:rsid w:val="002F424C"/>
    <w:rsid w:val="003007D5"/>
    <w:rsid w:val="00302193"/>
    <w:rsid w:val="00306BAE"/>
    <w:rsid w:val="00307479"/>
    <w:rsid w:val="00310FB9"/>
    <w:rsid w:val="003142C2"/>
    <w:rsid w:val="003142E8"/>
    <w:rsid w:val="003170B4"/>
    <w:rsid w:val="00320846"/>
    <w:rsid w:val="00323350"/>
    <w:rsid w:val="003249FC"/>
    <w:rsid w:val="00332C40"/>
    <w:rsid w:val="00333986"/>
    <w:rsid w:val="003349C0"/>
    <w:rsid w:val="00335769"/>
    <w:rsid w:val="003366D3"/>
    <w:rsid w:val="00337C16"/>
    <w:rsid w:val="0034131D"/>
    <w:rsid w:val="00343ACB"/>
    <w:rsid w:val="00345C89"/>
    <w:rsid w:val="00347FA3"/>
    <w:rsid w:val="0037687A"/>
    <w:rsid w:val="003805F7"/>
    <w:rsid w:val="0038177A"/>
    <w:rsid w:val="003864B7"/>
    <w:rsid w:val="00387051"/>
    <w:rsid w:val="003906B4"/>
    <w:rsid w:val="003908CC"/>
    <w:rsid w:val="00397A44"/>
    <w:rsid w:val="003A38A1"/>
    <w:rsid w:val="003A433D"/>
    <w:rsid w:val="003A5A9F"/>
    <w:rsid w:val="003B1F35"/>
    <w:rsid w:val="003B2F39"/>
    <w:rsid w:val="003B51D9"/>
    <w:rsid w:val="003B64A1"/>
    <w:rsid w:val="003C000A"/>
    <w:rsid w:val="003C0023"/>
    <w:rsid w:val="003C1945"/>
    <w:rsid w:val="003C4E66"/>
    <w:rsid w:val="003C6907"/>
    <w:rsid w:val="003C792B"/>
    <w:rsid w:val="003D2FFD"/>
    <w:rsid w:val="003D329A"/>
    <w:rsid w:val="003D3EB4"/>
    <w:rsid w:val="003D723F"/>
    <w:rsid w:val="003D77EC"/>
    <w:rsid w:val="003E178D"/>
    <w:rsid w:val="003E273F"/>
    <w:rsid w:val="003E62D4"/>
    <w:rsid w:val="003E73C8"/>
    <w:rsid w:val="003F3814"/>
    <w:rsid w:val="00402287"/>
    <w:rsid w:val="00403688"/>
    <w:rsid w:val="00407220"/>
    <w:rsid w:val="00411F29"/>
    <w:rsid w:val="004129EC"/>
    <w:rsid w:val="00412C49"/>
    <w:rsid w:val="00415547"/>
    <w:rsid w:val="00421AF4"/>
    <w:rsid w:val="00426803"/>
    <w:rsid w:val="00432918"/>
    <w:rsid w:val="00437909"/>
    <w:rsid w:val="00444EF3"/>
    <w:rsid w:val="00446B35"/>
    <w:rsid w:val="00450FCA"/>
    <w:rsid w:val="0045480E"/>
    <w:rsid w:val="004553EB"/>
    <w:rsid w:val="00460262"/>
    <w:rsid w:val="004626B7"/>
    <w:rsid w:val="004654F7"/>
    <w:rsid w:val="004748ED"/>
    <w:rsid w:val="00474E6E"/>
    <w:rsid w:val="004751F2"/>
    <w:rsid w:val="0048394E"/>
    <w:rsid w:val="004855AE"/>
    <w:rsid w:val="00485F7D"/>
    <w:rsid w:val="00491985"/>
    <w:rsid w:val="004925BB"/>
    <w:rsid w:val="00492660"/>
    <w:rsid w:val="00492983"/>
    <w:rsid w:val="00493010"/>
    <w:rsid w:val="00495658"/>
    <w:rsid w:val="00496E0B"/>
    <w:rsid w:val="004B25E6"/>
    <w:rsid w:val="004B2E17"/>
    <w:rsid w:val="004B36CD"/>
    <w:rsid w:val="004B6C3F"/>
    <w:rsid w:val="004C01E7"/>
    <w:rsid w:val="004C5116"/>
    <w:rsid w:val="004C51C8"/>
    <w:rsid w:val="004E0EBA"/>
    <w:rsid w:val="004E4659"/>
    <w:rsid w:val="004E5FAF"/>
    <w:rsid w:val="004E76AB"/>
    <w:rsid w:val="004E78E1"/>
    <w:rsid w:val="004F0815"/>
    <w:rsid w:val="004F2C59"/>
    <w:rsid w:val="004F5C55"/>
    <w:rsid w:val="00501EEE"/>
    <w:rsid w:val="005028E4"/>
    <w:rsid w:val="00503656"/>
    <w:rsid w:val="00506C79"/>
    <w:rsid w:val="00513E00"/>
    <w:rsid w:val="00517DC6"/>
    <w:rsid w:val="00521051"/>
    <w:rsid w:val="00521083"/>
    <w:rsid w:val="00521198"/>
    <w:rsid w:val="00524FF9"/>
    <w:rsid w:val="005260D7"/>
    <w:rsid w:val="00526908"/>
    <w:rsid w:val="00541391"/>
    <w:rsid w:val="005432C6"/>
    <w:rsid w:val="005432F6"/>
    <w:rsid w:val="00543FA7"/>
    <w:rsid w:val="005454D4"/>
    <w:rsid w:val="005458E8"/>
    <w:rsid w:val="00552BFB"/>
    <w:rsid w:val="005538E5"/>
    <w:rsid w:val="00554E2C"/>
    <w:rsid w:val="005571A7"/>
    <w:rsid w:val="00557D43"/>
    <w:rsid w:val="00557E21"/>
    <w:rsid w:val="00561E66"/>
    <w:rsid w:val="00564B33"/>
    <w:rsid w:val="0056787F"/>
    <w:rsid w:val="00567A33"/>
    <w:rsid w:val="005760B4"/>
    <w:rsid w:val="005801F3"/>
    <w:rsid w:val="00581AC6"/>
    <w:rsid w:val="00587AFA"/>
    <w:rsid w:val="00590060"/>
    <w:rsid w:val="0059481F"/>
    <w:rsid w:val="005949C1"/>
    <w:rsid w:val="00596024"/>
    <w:rsid w:val="005963C7"/>
    <w:rsid w:val="005A1208"/>
    <w:rsid w:val="005A3497"/>
    <w:rsid w:val="005A4271"/>
    <w:rsid w:val="005A56A0"/>
    <w:rsid w:val="005B0ECC"/>
    <w:rsid w:val="005B2DB0"/>
    <w:rsid w:val="005B4669"/>
    <w:rsid w:val="005C0057"/>
    <w:rsid w:val="005C04DD"/>
    <w:rsid w:val="005C06D0"/>
    <w:rsid w:val="005C0D62"/>
    <w:rsid w:val="005C105E"/>
    <w:rsid w:val="005C2D07"/>
    <w:rsid w:val="005C4690"/>
    <w:rsid w:val="005C5F5A"/>
    <w:rsid w:val="005C695A"/>
    <w:rsid w:val="005C7209"/>
    <w:rsid w:val="005C7EEF"/>
    <w:rsid w:val="005D078C"/>
    <w:rsid w:val="005D18F9"/>
    <w:rsid w:val="005D38E2"/>
    <w:rsid w:val="005D6013"/>
    <w:rsid w:val="005D6518"/>
    <w:rsid w:val="005E160A"/>
    <w:rsid w:val="005E2FD6"/>
    <w:rsid w:val="005E445A"/>
    <w:rsid w:val="005F4015"/>
    <w:rsid w:val="005F4B73"/>
    <w:rsid w:val="006104C2"/>
    <w:rsid w:val="00610590"/>
    <w:rsid w:val="00610828"/>
    <w:rsid w:val="00610D55"/>
    <w:rsid w:val="00610FDA"/>
    <w:rsid w:val="00612CC9"/>
    <w:rsid w:val="00621D64"/>
    <w:rsid w:val="00622274"/>
    <w:rsid w:val="00622622"/>
    <w:rsid w:val="00631B9C"/>
    <w:rsid w:val="00634303"/>
    <w:rsid w:val="006413ED"/>
    <w:rsid w:val="006427F1"/>
    <w:rsid w:val="00642A24"/>
    <w:rsid w:val="006437A8"/>
    <w:rsid w:val="00647490"/>
    <w:rsid w:val="00647820"/>
    <w:rsid w:val="00653513"/>
    <w:rsid w:val="006544D4"/>
    <w:rsid w:val="0065583C"/>
    <w:rsid w:val="0066459E"/>
    <w:rsid w:val="00667C64"/>
    <w:rsid w:val="00671BBD"/>
    <w:rsid w:val="006721B4"/>
    <w:rsid w:val="00672CB4"/>
    <w:rsid w:val="00676789"/>
    <w:rsid w:val="0068066B"/>
    <w:rsid w:val="00680A73"/>
    <w:rsid w:val="006813D0"/>
    <w:rsid w:val="006814D9"/>
    <w:rsid w:val="006844FC"/>
    <w:rsid w:val="00684F2B"/>
    <w:rsid w:val="00686F78"/>
    <w:rsid w:val="006901AF"/>
    <w:rsid w:val="006915F1"/>
    <w:rsid w:val="00692849"/>
    <w:rsid w:val="00692D6C"/>
    <w:rsid w:val="00693676"/>
    <w:rsid w:val="0069517A"/>
    <w:rsid w:val="006A0F22"/>
    <w:rsid w:val="006A405D"/>
    <w:rsid w:val="006A4B65"/>
    <w:rsid w:val="006A5B27"/>
    <w:rsid w:val="006A70D4"/>
    <w:rsid w:val="006B0312"/>
    <w:rsid w:val="006B1BD8"/>
    <w:rsid w:val="006B39EF"/>
    <w:rsid w:val="006C07BC"/>
    <w:rsid w:val="006C2C3F"/>
    <w:rsid w:val="006C2E4F"/>
    <w:rsid w:val="006C37DF"/>
    <w:rsid w:val="006C3B3E"/>
    <w:rsid w:val="006C5520"/>
    <w:rsid w:val="006C74E6"/>
    <w:rsid w:val="006C7A1E"/>
    <w:rsid w:val="006D5067"/>
    <w:rsid w:val="006E1CFE"/>
    <w:rsid w:val="006E21A8"/>
    <w:rsid w:val="006E5072"/>
    <w:rsid w:val="006E5AE7"/>
    <w:rsid w:val="006F04EF"/>
    <w:rsid w:val="006F742E"/>
    <w:rsid w:val="00703439"/>
    <w:rsid w:val="007109E5"/>
    <w:rsid w:val="00710D36"/>
    <w:rsid w:val="007117D1"/>
    <w:rsid w:val="00715D74"/>
    <w:rsid w:val="00716D22"/>
    <w:rsid w:val="00722CBF"/>
    <w:rsid w:val="007239E6"/>
    <w:rsid w:val="007240BD"/>
    <w:rsid w:val="00725FB2"/>
    <w:rsid w:val="00727CBB"/>
    <w:rsid w:val="00732D38"/>
    <w:rsid w:val="0073327F"/>
    <w:rsid w:val="00735CB8"/>
    <w:rsid w:val="007419BA"/>
    <w:rsid w:val="00747EE7"/>
    <w:rsid w:val="00760B78"/>
    <w:rsid w:val="00762AD6"/>
    <w:rsid w:val="00763A73"/>
    <w:rsid w:val="00771687"/>
    <w:rsid w:val="00772BB1"/>
    <w:rsid w:val="00780187"/>
    <w:rsid w:val="00781D99"/>
    <w:rsid w:val="007849A6"/>
    <w:rsid w:val="00792D66"/>
    <w:rsid w:val="007A4C5A"/>
    <w:rsid w:val="007A760E"/>
    <w:rsid w:val="007B0183"/>
    <w:rsid w:val="007B34D3"/>
    <w:rsid w:val="007B4438"/>
    <w:rsid w:val="007B58BE"/>
    <w:rsid w:val="007B6EDC"/>
    <w:rsid w:val="007C1A58"/>
    <w:rsid w:val="007C1EFC"/>
    <w:rsid w:val="007C27FB"/>
    <w:rsid w:val="007C2808"/>
    <w:rsid w:val="007C2813"/>
    <w:rsid w:val="007C2C47"/>
    <w:rsid w:val="007C401D"/>
    <w:rsid w:val="007C518B"/>
    <w:rsid w:val="007D17D3"/>
    <w:rsid w:val="007D49D4"/>
    <w:rsid w:val="007D58E9"/>
    <w:rsid w:val="007D65EF"/>
    <w:rsid w:val="007E0A32"/>
    <w:rsid w:val="007E2C6A"/>
    <w:rsid w:val="007E4F44"/>
    <w:rsid w:val="007E74A9"/>
    <w:rsid w:val="007F0997"/>
    <w:rsid w:val="007F41E3"/>
    <w:rsid w:val="007F498E"/>
    <w:rsid w:val="007F4AD1"/>
    <w:rsid w:val="007F5439"/>
    <w:rsid w:val="007F64C7"/>
    <w:rsid w:val="00801CAE"/>
    <w:rsid w:val="00803AD7"/>
    <w:rsid w:val="008068EB"/>
    <w:rsid w:val="00806A6B"/>
    <w:rsid w:val="00806F4B"/>
    <w:rsid w:val="00810B2A"/>
    <w:rsid w:val="00814747"/>
    <w:rsid w:val="00816558"/>
    <w:rsid w:val="00821B1E"/>
    <w:rsid w:val="008277BE"/>
    <w:rsid w:val="008321CD"/>
    <w:rsid w:val="008329AC"/>
    <w:rsid w:val="00833180"/>
    <w:rsid w:val="0083695E"/>
    <w:rsid w:val="00840072"/>
    <w:rsid w:val="008429F2"/>
    <w:rsid w:val="00843C40"/>
    <w:rsid w:val="0084413A"/>
    <w:rsid w:val="00844EED"/>
    <w:rsid w:val="008466D3"/>
    <w:rsid w:val="0084701D"/>
    <w:rsid w:val="00850E30"/>
    <w:rsid w:val="00851D0F"/>
    <w:rsid w:val="00856BAA"/>
    <w:rsid w:val="008602FF"/>
    <w:rsid w:val="008606B0"/>
    <w:rsid w:val="00861255"/>
    <w:rsid w:val="008621F3"/>
    <w:rsid w:val="008626F7"/>
    <w:rsid w:val="0086441B"/>
    <w:rsid w:val="00872785"/>
    <w:rsid w:val="00872D1A"/>
    <w:rsid w:val="00875867"/>
    <w:rsid w:val="00880766"/>
    <w:rsid w:val="008819BE"/>
    <w:rsid w:val="00881E64"/>
    <w:rsid w:val="00883C0C"/>
    <w:rsid w:val="008868A0"/>
    <w:rsid w:val="008937D6"/>
    <w:rsid w:val="00893E00"/>
    <w:rsid w:val="00894025"/>
    <w:rsid w:val="00895E11"/>
    <w:rsid w:val="008A378C"/>
    <w:rsid w:val="008A646E"/>
    <w:rsid w:val="008A7970"/>
    <w:rsid w:val="008B29D3"/>
    <w:rsid w:val="008B45A9"/>
    <w:rsid w:val="008B4A99"/>
    <w:rsid w:val="008B6B26"/>
    <w:rsid w:val="008C0A21"/>
    <w:rsid w:val="008C1879"/>
    <w:rsid w:val="008C27C0"/>
    <w:rsid w:val="008C47C3"/>
    <w:rsid w:val="008C501C"/>
    <w:rsid w:val="008C5CFE"/>
    <w:rsid w:val="008D2DE0"/>
    <w:rsid w:val="008D4FA0"/>
    <w:rsid w:val="008D79C2"/>
    <w:rsid w:val="008E654F"/>
    <w:rsid w:val="008E6ABC"/>
    <w:rsid w:val="008E6DAC"/>
    <w:rsid w:val="008F4DC7"/>
    <w:rsid w:val="008F5928"/>
    <w:rsid w:val="008F602C"/>
    <w:rsid w:val="008F7DC6"/>
    <w:rsid w:val="009007F4"/>
    <w:rsid w:val="009161DD"/>
    <w:rsid w:val="00916824"/>
    <w:rsid w:val="009216E3"/>
    <w:rsid w:val="00921E47"/>
    <w:rsid w:val="00923902"/>
    <w:rsid w:val="00926636"/>
    <w:rsid w:val="00927389"/>
    <w:rsid w:val="00927630"/>
    <w:rsid w:val="00933B88"/>
    <w:rsid w:val="009364B2"/>
    <w:rsid w:val="0093732F"/>
    <w:rsid w:val="009410CB"/>
    <w:rsid w:val="009444DE"/>
    <w:rsid w:val="00944575"/>
    <w:rsid w:val="00955DA5"/>
    <w:rsid w:val="00956710"/>
    <w:rsid w:val="00957981"/>
    <w:rsid w:val="00962C5C"/>
    <w:rsid w:val="00962C7C"/>
    <w:rsid w:val="00963662"/>
    <w:rsid w:val="00974892"/>
    <w:rsid w:val="00975DEA"/>
    <w:rsid w:val="00977076"/>
    <w:rsid w:val="00983423"/>
    <w:rsid w:val="00983786"/>
    <w:rsid w:val="009838BE"/>
    <w:rsid w:val="00984390"/>
    <w:rsid w:val="00987D8C"/>
    <w:rsid w:val="009917FD"/>
    <w:rsid w:val="009941D6"/>
    <w:rsid w:val="00995B79"/>
    <w:rsid w:val="009976C6"/>
    <w:rsid w:val="009A25F3"/>
    <w:rsid w:val="009B2055"/>
    <w:rsid w:val="009B34D8"/>
    <w:rsid w:val="009B70C9"/>
    <w:rsid w:val="009B7C5C"/>
    <w:rsid w:val="009C691F"/>
    <w:rsid w:val="009D1E03"/>
    <w:rsid w:val="009D57F0"/>
    <w:rsid w:val="009D6888"/>
    <w:rsid w:val="009E1090"/>
    <w:rsid w:val="009E3755"/>
    <w:rsid w:val="009E4C04"/>
    <w:rsid w:val="009F3E3B"/>
    <w:rsid w:val="009F5DC7"/>
    <w:rsid w:val="009F615A"/>
    <w:rsid w:val="00A02051"/>
    <w:rsid w:val="00A043A7"/>
    <w:rsid w:val="00A125CF"/>
    <w:rsid w:val="00A157AF"/>
    <w:rsid w:val="00A2040E"/>
    <w:rsid w:val="00A20A6B"/>
    <w:rsid w:val="00A20D26"/>
    <w:rsid w:val="00A240F9"/>
    <w:rsid w:val="00A249B0"/>
    <w:rsid w:val="00A250AE"/>
    <w:rsid w:val="00A33761"/>
    <w:rsid w:val="00A354EB"/>
    <w:rsid w:val="00A42DBA"/>
    <w:rsid w:val="00A45791"/>
    <w:rsid w:val="00A50570"/>
    <w:rsid w:val="00A552AD"/>
    <w:rsid w:val="00A56AB0"/>
    <w:rsid w:val="00A61614"/>
    <w:rsid w:val="00A6508B"/>
    <w:rsid w:val="00A70512"/>
    <w:rsid w:val="00A71DD5"/>
    <w:rsid w:val="00A72B05"/>
    <w:rsid w:val="00A75D05"/>
    <w:rsid w:val="00A761A4"/>
    <w:rsid w:val="00A855A2"/>
    <w:rsid w:val="00A862B1"/>
    <w:rsid w:val="00A86A73"/>
    <w:rsid w:val="00A87A09"/>
    <w:rsid w:val="00A93C45"/>
    <w:rsid w:val="00A95682"/>
    <w:rsid w:val="00A95F52"/>
    <w:rsid w:val="00AA1ED3"/>
    <w:rsid w:val="00AA4A43"/>
    <w:rsid w:val="00AA6A6A"/>
    <w:rsid w:val="00AA717C"/>
    <w:rsid w:val="00AB1EE4"/>
    <w:rsid w:val="00AB3CD5"/>
    <w:rsid w:val="00AB42FD"/>
    <w:rsid w:val="00AC06E4"/>
    <w:rsid w:val="00AC398F"/>
    <w:rsid w:val="00AC695F"/>
    <w:rsid w:val="00AC71B1"/>
    <w:rsid w:val="00AD0919"/>
    <w:rsid w:val="00AD7E4E"/>
    <w:rsid w:val="00AE020F"/>
    <w:rsid w:val="00AE2719"/>
    <w:rsid w:val="00AE3F91"/>
    <w:rsid w:val="00AE6504"/>
    <w:rsid w:val="00AE7136"/>
    <w:rsid w:val="00AE7617"/>
    <w:rsid w:val="00AF0529"/>
    <w:rsid w:val="00AF130D"/>
    <w:rsid w:val="00AF4460"/>
    <w:rsid w:val="00AF4542"/>
    <w:rsid w:val="00B00213"/>
    <w:rsid w:val="00B11A5D"/>
    <w:rsid w:val="00B12A96"/>
    <w:rsid w:val="00B15EBA"/>
    <w:rsid w:val="00B1669D"/>
    <w:rsid w:val="00B25C14"/>
    <w:rsid w:val="00B25EE8"/>
    <w:rsid w:val="00B30D38"/>
    <w:rsid w:val="00B34383"/>
    <w:rsid w:val="00B34445"/>
    <w:rsid w:val="00B34AD5"/>
    <w:rsid w:val="00B35533"/>
    <w:rsid w:val="00B41404"/>
    <w:rsid w:val="00B47DEA"/>
    <w:rsid w:val="00B50205"/>
    <w:rsid w:val="00B51EA8"/>
    <w:rsid w:val="00B52EF0"/>
    <w:rsid w:val="00B53F6D"/>
    <w:rsid w:val="00B6467D"/>
    <w:rsid w:val="00B6603F"/>
    <w:rsid w:val="00B671B9"/>
    <w:rsid w:val="00B71280"/>
    <w:rsid w:val="00B756AD"/>
    <w:rsid w:val="00B75E32"/>
    <w:rsid w:val="00B8077B"/>
    <w:rsid w:val="00B84F27"/>
    <w:rsid w:val="00B864A0"/>
    <w:rsid w:val="00B90E81"/>
    <w:rsid w:val="00B9141A"/>
    <w:rsid w:val="00B91DF3"/>
    <w:rsid w:val="00B94137"/>
    <w:rsid w:val="00B947E2"/>
    <w:rsid w:val="00B95DFA"/>
    <w:rsid w:val="00BA59ED"/>
    <w:rsid w:val="00BB1905"/>
    <w:rsid w:val="00BB30B6"/>
    <w:rsid w:val="00BB3AF4"/>
    <w:rsid w:val="00BB5ECE"/>
    <w:rsid w:val="00BB75FC"/>
    <w:rsid w:val="00BC47B9"/>
    <w:rsid w:val="00BC5135"/>
    <w:rsid w:val="00BC7342"/>
    <w:rsid w:val="00BC737C"/>
    <w:rsid w:val="00BD0562"/>
    <w:rsid w:val="00BD0CFE"/>
    <w:rsid w:val="00BD1B6C"/>
    <w:rsid w:val="00BD2BE9"/>
    <w:rsid w:val="00BD4498"/>
    <w:rsid w:val="00BD57EA"/>
    <w:rsid w:val="00BE68C3"/>
    <w:rsid w:val="00BF4199"/>
    <w:rsid w:val="00BF7DAE"/>
    <w:rsid w:val="00C00229"/>
    <w:rsid w:val="00C00E40"/>
    <w:rsid w:val="00C05CE6"/>
    <w:rsid w:val="00C11030"/>
    <w:rsid w:val="00C138BB"/>
    <w:rsid w:val="00C139C1"/>
    <w:rsid w:val="00C15EA8"/>
    <w:rsid w:val="00C16798"/>
    <w:rsid w:val="00C17EED"/>
    <w:rsid w:val="00C2139C"/>
    <w:rsid w:val="00C21DF6"/>
    <w:rsid w:val="00C22599"/>
    <w:rsid w:val="00C22CA8"/>
    <w:rsid w:val="00C23985"/>
    <w:rsid w:val="00C239A6"/>
    <w:rsid w:val="00C32DF8"/>
    <w:rsid w:val="00C35DCB"/>
    <w:rsid w:val="00C40D33"/>
    <w:rsid w:val="00C471B7"/>
    <w:rsid w:val="00C51550"/>
    <w:rsid w:val="00C51685"/>
    <w:rsid w:val="00C52C35"/>
    <w:rsid w:val="00C6028F"/>
    <w:rsid w:val="00C60F5B"/>
    <w:rsid w:val="00C61E9F"/>
    <w:rsid w:val="00C630F7"/>
    <w:rsid w:val="00C65499"/>
    <w:rsid w:val="00C67087"/>
    <w:rsid w:val="00C71DBC"/>
    <w:rsid w:val="00C761BC"/>
    <w:rsid w:val="00C7799B"/>
    <w:rsid w:val="00C779C8"/>
    <w:rsid w:val="00C77E24"/>
    <w:rsid w:val="00C8299E"/>
    <w:rsid w:val="00C844D4"/>
    <w:rsid w:val="00C84C55"/>
    <w:rsid w:val="00C85BD1"/>
    <w:rsid w:val="00C870C5"/>
    <w:rsid w:val="00C918E4"/>
    <w:rsid w:val="00C93C86"/>
    <w:rsid w:val="00C97B02"/>
    <w:rsid w:val="00CA427D"/>
    <w:rsid w:val="00CB0170"/>
    <w:rsid w:val="00CB09F9"/>
    <w:rsid w:val="00CB1582"/>
    <w:rsid w:val="00CB1B17"/>
    <w:rsid w:val="00CB2CCC"/>
    <w:rsid w:val="00CB5C61"/>
    <w:rsid w:val="00CC4872"/>
    <w:rsid w:val="00CC529A"/>
    <w:rsid w:val="00CD4491"/>
    <w:rsid w:val="00CE2B57"/>
    <w:rsid w:val="00CE44E6"/>
    <w:rsid w:val="00CE694D"/>
    <w:rsid w:val="00CF0757"/>
    <w:rsid w:val="00CF09C2"/>
    <w:rsid w:val="00CF5BE1"/>
    <w:rsid w:val="00CF7976"/>
    <w:rsid w:val="00D03192"/>
    <w:rsid w:val="00D03BEF"/>
    <w:rsid w:val="00D05D64"/>
    <w:rsid w:val="00D11B9C"/>
    <w:rsid w:val="00D13B8D"/>
    <w:rsid w:val="00D16259"/>
    <w:rsid w:val="00D220FE"/>
    <w:rsid w:val="00D23AE0"/>
    <w:rsid w:val="00D31DAB"/>
    <w:rsid w:val="00D32D4C"/>
    <w:rsid w:val="00D331D9"/>
    <w:rsid w:val="00D33A19"/>
    <w:rsid w:val="00D3490C"/>
    <w:rsid w:val="00D36204"/>
    <w:rsid w:val="00D373D8"/>
    <w:rsid w:val="00D4421F"/>
    <w:rsid w:val="00D46379"/>
    <w:rsid w:val="00D46FFB"/>
    <w:rsid w:val="00D47556"/>
    <w:rsid w:val="00D475C6"/>
    <w:rsid w:val="00D512C7"/>
    <w:rsid w:val="00D53076"/>
    <w:rsid w:val="00D559B3"/>
    <w:rsid w:val="00D56AFA"/>
    <w:rsid w:val="00D603D5"/>
    <w:rsid w:val="00D61989"/>
    <w:rsid w:val="00D6272C"/>
    <w:rsid w:val="00D65683"/>
    <w:rsid w:val="00D70085"/>
    <w:rsid w:val="00D724C2"/>
    <w:rsid w:val="00D97C40"/>
    <w:rsid w:val="00DA1579"/>
    <w:rsid w:val="00DA6C98"/>
    <w:rsid w:val="00DA71A3"/>
    <w:rsid w:val="00DC1989"/>
    <w:rsid w:val="00DC39CE"/>
    <w:rsid w:val="00DD7236"/>
    <w:rsid w:val="00DD7522"/>
    <w:rsid w:val="00DD7DBA"/>
    <w:rsid w:val="00DE0883"/>
    <w:rsid w:val="00DE0E41"/>
    <w:rsid w:val="00DE0F3F"/>
    <w:rsid w:val="00DE34F3"/>
    <w:rsid w:val="00DE7DE3"/>
    <w:rsid w:val="00E02267"/>
    <w:rsid w:val="00E07DED"/>
    <w:rsid w:val="00E103AB"/>
    <w:rsid w:val="00E137F9"/>
    <w:rsid w:val="00E172BA"/>
    <w:rsid w:val="00E2611A"/>
    <w:rsid w:val="00E36B30"/>
    <w:rsid w:val="00E370D9"/>
    <w:rsid w:val="00E4035A"/>
    <w:rsid w:val="00E4158D"/>
    <w:rsid w:val="00E42E6A"/>
    <w:rsid w:val="00E43772"/>
    <w:rsid w:val="00E43C3E"/>
    <w:rsid w:val="00E43DEC"/>
    <w:rsid w:val="00E529A4"/>
    <w:rsid w:val="00E54CFF"/>
    <w:rsid w:val="00E5516B"/>
    <w:rsid w:val="00E62317"/>
    <w:rsid w:val="00E626C0"/>
    <w:rsid w:val="00E655A6"/>
    <w:rsid w:val="00E66511"/>
    <w:rsid w:val="00E66E11"/>
    <w:rsid w:val="00E66F5B"/>
    <w:rsid w:val="00E73090"/>
    <w:rsid w:val="00E7591D"/>
    <w:rsid w:val="00E80E09"/>
    <w:rsid w:val="00E854E4"/>
    <w:rsid w:val="00E91EBE"/>
    <w:rsid w:val="00E94529"/>
    <w:rsid w:val="00E95C23"/>
    <w:rsid w:val="00EA173D"/>
    <w:rsid w:val="00EB1174"/>
    <w:rsid w:val="00EB13BA"/>
    <w:rsid w:val="00EB255B"/>
    <w:rsid w:val="00EB3BE4"/>
    <w:rsid w:val="00EB5714"/>
    <w:rsid w:val="00EB7603"/>
    <w:rsid w:val="00EC286E"/>
    <w:rsid w:val="00EC3E67"/>
    <w:rsid w:val="00EC458D"/>
    <w:rsid w:val="00ED775F"/>
    <w:rsid w:val="00EE2759"/>
    <w:rsid w:val="00EE6628"/>
    <w:rsid w:val="00F00418"/>
    <w:rsid w:val="00F005B9"/>
    <w:rsid w:val="00F012B2"/>
    <w:rsid w:val="00F02D2E"/>
    <w:rsid w:val="00F03775"/>
    <w:rsid w:val="00F06291"/>
    <w:rsid w:val="00F11541"/>
    <w:rsid w:val="00F13B13"/>
    <w:rsid w:val="00F13FBD"/>
    <w:rsid w:val="00F15360"/>
    <w:rsid w:val="00F15D68"/>
    <w:rsid w:val="00F2289F"/>
    <w:rsid w:val="00F23432"/>
    <w:rsid w:val="00F3039C"/>
    <w:rsid w:val="00F30F16"/>
    <w:rsid w:val="00F4061E"/>
    <w:rsid w:val="00F4243F"/>
    <w:rsid w:val="00F47BBA"/>
    <w:rsid w:val="00F47F4D"/>
    <w:rsid w:val="00F52EA7"/>
    <w:rsid w:val="00F54246"/>
    <w:rsid w:val="00F55EE5"/>
    <w:rsid w:val="00F57D4B"/>
    <w:rsid w:val="00F6014A"/>
    <w:rsid w:val="00F6231E"/>
    <w:rsid w:val="00F67AAC"/>
    <w:rsid w:val="00F7003A"/>
    <w:rsid w:val="00F72E50"/>
    <w:rsid w:val="00F742F0"/>
    <w:rsid w:val="00F763A0"/>
    <w:rsid w:val="00F8413A"/>
    <w:rsid w:val="00F9352E"/>
    <w:rsid w:val="00F93C48"/>
    <w:rsid w:val="00F95FA3"/>
    <w:rsid w:val="00FA1616"/>
    <w:rsid w:val="00FA208F"/>
    <w:rsid w:val="00FB304E"/>
    <w:rsid w:val="00FB35CE"/>
    <w:rsid w:val="00FB3879"/>
    <w:rsid w:val="00FB46DC"/>
    <w:rsid w:val="00FC035B"/>
    <w:rsid w:val="00FC042D"/>
    <w:rsid w:val="00FC214F"/>
    <w:rsid w:val="00FC49A7"/>
    <w:rsid w:val="00FD2D34"/>
    <w:rsid w:val="00FD482F"/>
    <w:rsid w:val="00FD66F4"/>
    <w:rsid w:val="00FE3D5D"/>
    <w:rsid w:val="00FE5CA2"/>
    <w:rsid w:val="00FE72FC"/>
    <w:rsid w:val="00FF1CD9"/>
    <w:rsid w:val="00FF71AF"/>
    <w:rsid w:val="00FF7766"/>
    <w:rsid w:val="014E0AAC"/>
    <w:rsid w:val="019C21B3"/>
    <w:rsid w:val="01B01FA7"/>
    <w:rsid w:val="01CC4F35"/>
    <w:rsid w:val="01E07B0F"/>
    <w:rsid w:val="01FE0411"/>
    <w:rsid w:val="02135A70"/>
    <w:rsid w:val="03663F2E"/>
    <w:rsid w:val="03832D2A"/>
    <w:rsid w:val="0386239E"/>
    <w:rsid w:val="03FB33BB"/>
    <w:rsid w:val="0413519D"/>
    <w:rsid w:val="044767AD"/>
    <w:rsid w:val="04843E24"/>
    <w:rsid w:val="051441B2"/>
    <w:rsid w:val="056F0722"/>
    <w:rsid w:val="057F5077"/>
    <w:rsid w:val="05895E44"/>
    <w:rsid w:val="05CC0C07"/>
    <w:rsid w:val="05D35127"/>
    <w:rsid w:val="05EE55BB"/>
    <w:rsid w:val="05F00C97"/>
    <w:rsid w:val="07315A1C"/>
    <w:rsid w:val="07461951"/>
    <w:rsid w:val="07704B9B"/>
    <w:rsid w:val="078903AA"/>
    <w:rsid w:val="087E4162"/>
    <w:rsid w:val="095F56D3"/>
    <w:rsid w:val="09DF42A1"/>
    <w:rsid w:val="09EB1728"/>
    <w:rsid w:val="0A3515FC"/>
    <w:rsid w:val="0A3E3B5F"/>
    <w:rsid w:val="0B216F6D"/>
    <w:rsid w:val="0B570C85"/>
    <w:rsid w:val="0B7D77F6"/>
    <w:rsid w:val="0BCB1D5D"/>
    <w:rsid w:val="0C0671E9"/>
    <w:rsid w:val="0C1E39E9"/>
    <w:rsid w:val="0C8F0BBE"/>
    <w:rsid w:val="0CBC1355"/>
    <w:rsid w:val="0D093BA6"/>
    <w:rsid w:val="0D1B4D24"/>
    <w:rsid w:val="0D401967"/>
    <w:rsid w:val="0D6D0C94"/>
    <w:rsid w:val="0D702806"/>
    <w:rsid w:val="0DF04BC3"/>
    <w:rsid w:val="0DFE2ED5"/>
    <w:rsid w:val="0E5F2980"/>
    <w:rsid w:val="0E6B3EB8"/>
    <w:rsid w:val="0E6F576E"/>
    <w:rsid w:val="0E7201C0"/>
    <w:rsid w:val="0E9A6B1A"/>
    <w:rsid w:val="0EA86979"/>
    <w:rsid w:val="0F29269E"/>
    <w:rsid w:val="0F9667B8"/>
    <w:rsid w:val="109553A0"/>
    <w:rsid w:val="10E635F2"/>
    <w:rsid w:val="111F6EDB"/>
    <w:rsid w:val="11855F67"/>
    <w:rsid w:val="11D74AA4"/>
    <w:rsid w:val="11E82754"/>
    <w:rsid w:val="1225465E"/>
    <w:rsid w:val="12E76453"/>
    <w:rsid w:val="135B4570"/>
    <w:rsid w:val="13B503EB"/>
    <w:rsid w:val="14DA7EC1"/>
    <w:rsid w:val="14E426D3"/>
    <w:rsid w:val="150815F5"/>
    <w:rsid w:val="15621C5F"/>
    <w:rsid w:val="15DE4080"/>
    <w:rsid w:val="15F07AFD"/>
    <w:rsid w:val="160F4FAB"/>
    <w:rsid w:val="161B3824"/>
    <w:rsid w:val="162968C8"/>
    <w:rsid w:val="16531A6A"/>
    <w:rsid w:val="16C744D7"/>
    <w:rsid w:val="17775247"/>
    <w:rsid w:val="17853618"/>
    <w:rsid w:val="17907F7B"/>
    <w:rsid w:val="17F3070B"/>
    <w:rsid w:val="184D0E48"/>
    <w:rsid w:val="18B55CA2"/>
    <w:rsid w:val="193938BB"/>
    <w:rsid w:val="199876B8"/>
    <w:rsid w:val="19F23E9A"/>
    <w:rsid w:val="19F94B29"/>
    <w:rsid w:val="1A016BDC"/>
    <w:rsid w:val="1A0221FC"/>
    <w:rsid w:val="1AD86D00"/>
    <w:rsid w:val="1AE60606"/>
    <w:rsid w:val="1BCF7486"/>
    <w:rsid w:val="1BF07C31"/>
    <w:rsid w:val="1C9D7822"/>
    <w:rsid w:val="1D1149D3"/>
    <w:rsid w:val="1D5528CC"/>
    <w:rsid w:val="1D7926FD"/>
    <w:rsid w:val="1E0D6105"/>
    <w:rsid w:val="1E864CE0"/>
    <w:rsid w:val="1E877F83"/>
    <w:rsid w:val="1ED565B4"/>
    <w:rsid w:val="1F00513A"/>
    <w:rsid w:val="1F720C01"/>
    <w:rsid w:val="1F940803"/>
    <w:rsid w:val="1FEF2CBE"/>
    <w:rsid w:val="203215CA"/>
    <w:rsid w:val="20F663B1"/>
    <w:rsid w:val="21101413"/>
    <w:rsid w:val="21403547"/>
    <w:rsid w:val="21564C51"/>
    <w:rsid w:val="22460D76"/>
    <w:rsid w:val="226F678E"/>
    <w:rsid w:val="22C53127"/>
    <w:rsid w:val="22D41528"/>
    <w:rsid w:val="231A12F5"/>
    <w:rsid w:val="23256A8C"/>
    <w:rsid w:val="234D2941"/>
    <w:rsid w:val="23B7140A"/>
    <w:rsid w:val="24103554"/>
    <w:rsid w:val="24865044"/>
    <w:rsid w:val="24A469AF"/>
    <w:rsid w:val="24D44694"/>
    <w:rsid w:val="24E2791B"/>
    <w:rsid w:val="2597596C"/>
    <w:rsid w:val="264A0AFD"/>
    <w:rsid w:val="26C4102B"/>
    <w:rsid w:val="26CA57CD"/>
    <w:rsid w:val="26CF0652"/>
    <w:rsid w:val="27687144"/>
    <w:rsid w:val="276A1A7B"/>
    <w:rsid w:val="27BC316E"/>
    <w:rsid w:val="27E2386A"/>
    <w:rsid w:val="28592CC8"/>
    <w:rsid w:val="28676923"/>
    <w:rsid w:val="291B6B59"/>
    <w:rsid w:val="292954B1"/>
    <w:rsid w:val="29A57312"/>
    <w:rsid w:val="29B11E9C"/>
    <w:rsid w:val="29DA679E"/>
    <w:rsid w:val="29F84A33"/>
    <w:rsid w:val="2A0479D0"/>
    <w:rsid w:val="2A234FE5"/>
    <w:rsid w:val="2A8403EA"/>
    <w:rsid w:val="2ADA6FE4"/>
    <w:rsid w:val="2B995345"/>
    <w:rsid w:val="2BCB2729"/>
    <w:rsid w:val="2C0431C0"/>
    <w:rsid w:val="2CE036D5"/>
    <w:rsid w:val="2D062CD1"/>
    <w:rsid w:val="2D6C43A1"/>
    <w:rsid w:val="2E694ECE"/>
    <w:rsid w:val="2E8441A7"/>
    <w:rsid w:val="2EA7737E"/>
    <w:rsid w:val="2EC320DB"/>
    <w:rsid w:val="2EC642A5"/>
    <w:rsid w:val="2F657EFE"/>
    <w:rsid w:val="2FFB2E68"/>
    <w:rsid w:val="303B2179"/>
    <w:rsid w:val="307321DA"/>
    <w:rsid w:val="30A54BF5"/>
    <w:rsid w:val="30EF6451"/>
    <w:rsid w:val="319B22B9"/>
    <w:rsid w:val="32452D44"/>
    <w:rsid w:val="32631794"/>
    <w:rsid w:val="326C3933"/>
    <w:rsid w:val="329F6404"/>
    <w:rsid w:val="336A491A"/>
    <w:rsid w:val="337815FF"/>
    <w:rsid w:val="33C55D07"/>
    <w:rsid w:val="345119B6"/>
    <w:rsid w:val="3486014B"/>
    <w:rsid w:val="348A4223"/>
    <w:rsid w:val="350D0E0D"/>
    <w:rsid w:val="35234327"/>
    <w:rsid w:val="353F09AC"/>
    <w:rsid w:val="35482D73"/>
    <w:rsid w:val="35641EBB"/>
    <w:rsid w:val="35D66F56"/>
    <w:rsid w:val="35E32DC2"/>
    <w:rsid w:val="36227AE8"/>
    <w:rsid w:val="364F3C42"/>
    <w:rsid w:val="367650DF"/>
    <w:rsid w:val="37130C7F"/>
    <w:rsid w:val="377A44DD"/>
    <w:rsid w:val="38263905"/>
    <w:rsid w:val="3872235A"/>
    <w:rsid w:val="387C58CF"/>
    <w:rsid w:val="390558FE"/>
    <w:rsid w:val="39431F53"/>
    <w:rsid w:val="39BC1941"/>
    <w:rsid w:val="39F4157F"/>
    <w:rsid w:val="3A3D2C6F"/>
    <w:rsid w:val="3AAB1798"/>
    <w:rsid w:val="3B180BA1"/>
    <w:rsid w:val="3BEE4D78"/>
    <w:rsid w:val="3C6270D7"/>
    <w:rsid w:val="3C794CDD"/>
    <w:rsid w:val="3CD11411"/>
    <w:rsid w:val="3D7824BE"/>
    <w:rsid w:val="3D941785"/>
    <w:rsid w:val="3DEA1145"/>
    <w:rsid w:val="3E09430B"/>
    <w:rsid w:val="3EC77D95"/>
    <w:rsid w:val="3EE76BA5"/>
    <w:rsid w:val="3F0E4D4F"/>
    <w:rsid w:val="3F2E3CC4"/>
    <w:rsid w:val="3F3221C0"/>
    <w:rsid w:val="3F3D3E86"/>
    <w:rsid w:val="400129DA"/>
    <w:rsid w:val="40374182"/>
    <w:rsid w:val="408B282A"/>
    <w:rsid w:val="40D96D95"/>
    <w:rsid w:val="412B5CDB"/>
    <w:rsid w:val="413D072A"/>
    <w:rsid w:val="41EA2FF1"/>
    <w:rsid w:val="422167A3"/>
    <w:rsid w:val="426B120D"/>
    <w:rsid w:val="42BC45CD"/>
    <w:rsid w:val="42F53475"/>
    <w:rsid w:val="431340EF"/>
    <w:rsid w:val="436B4831"/>
    <w:rsid w:val="43A7752E"/>
    <w:rsid w:val="44336438"/>
    <w:rsid w:val="44497581"/>
    <w:rsid w:val="44714D6B"/>
    <w:rsid w:val="44813F87"/>
    <w:rsid w:val="4497329A"/>
    <w:rsid w:val="45041F65"/>
    <w:rsid w:val="452B0EAA"/>
    <w:rsid w:val="45C376CA"/>
    <w:rsid w:val="46471EA4"/>
    <w:rsid w:val="46B92276"/>
    <w:rsid w:val="46FB3883"/>
    <w:rsid w:val="47106003"/>
    <w:rsid w:val="471959B3"/>
    <w:rsid w:val="476069C4"/>
    <w:rsid w:val="47992F9D"/>
    <w:rsid w:val="47EA084B"/>
    <w:rsid w:val="48404FB5"/>
    <w:rsid w:val="487640C5"/>
    <w:rsid w:val="48994749"/>
    <w:rsid w:val="49530670"/>
    <w:rsid w:val="4A506642"/>
    <w:rsid w:val="4B4A6DE5"/>
    <w:rsid w:val="4B695343"/>
    <w:rsid w:val="4BEA5558"/>
    <w:rsid w:val="4C1633B3"/>
    <w:rsid w:val="4CDC1526"/>
    <w:rsid w:val="4D191469"/>
    <w:rsid w:val="4D4569F4"/>
    <w:rsid w:val="4D5974E0"/>
    <w:rsid w:val="4D7D69A8"/>
    <w:rsid w:val="4E002367"/>
    <w:rsid w:val="4E626EA5"/>
    <w:rsid w:val="4ECA5F64"/>
    <w:rsid w:val="4EDE5D0E"/>
    <w:rsid w:val="4F4539DE"/>
    <w:rsid w:val="4FDA63AF"/>
    <w:rsid w:val="4FF264C2"/>
    <w:rsid w:val="4FFB2B37"/>
    <w:rsid w:val="504A288D"/>
    <w:rsid w:val="50807026"/>
    <w:rsid w:val="51D16955"/>
    <w:rsid w:val="520062EB"/>
    <w:rsid w:val="522779DB"/>
    <w:rsid w:val="528D6CF1"/>
    <w:rsid w:val="529C2A86"/>
    <w:rsid w:val="52B24DBE"/>
    <w:rsid w:val="52DC7751"/>
    <w:rsid w:val="53203CAE"/>
    <w:rsid w:val="53331327"/>
    <w:rsid w:val="538772ED"/>
    <w:rsid w:val="538F5D12"/>
    <w:rsid w:val="53C220E7"/>
    <w:rsid w:val="543617AB"/>
    <w:rsid w:val="54DA7F00"/>
    <w:rsid w:val="54F8150D"/>
    <w:rsid w:val="550B7EBA"/>
    <w:rsid w:val="553F7566"/>
    <w:rsid w:val="55635789"/>
    <w:rsid w:val="55665CA9"/>
    <w:rsid w:val="557B7FDA"/>
    <w:rsid w:val="55B3541F"/>
    <w:rsid w:val="55EF597B"/>
    <w:rsid w:val="55F7284A"/>
    <w:rsid w:val="56750567"/>
    <w:rsid w:val="569019D8"/>
    <w:rsid w:val="570052EA"/>
    <w:rsid w:val="57217901"/>
    <w:rsid w:val="574C4FE5"/>
    <w:rsid w:val="574D5B71"/>
    <w:rsid w:val="575B3C63"/>
    <w:rsid w:val="579B128E"/>
    <w:rsid w:val="57BD6C4A"/>
    <w:rsid w:val="57C20A12"/>
    <w:rsid w:val="57F95CA9"/>
    <w:rsid w:val="59364F09"/>
    <w:rsid w:val="59510A4F"/>
    <w:rsid w:val="59736D43"/>
    <w:rsid w:val="59787728"/>
    <w:rsid w:val="599F75DD"/>
    <w:rsid w:val="59AA222F"/>
    <w:rsid w:val="59BD5CD7"/>
    <w:rsid w:val="5A140C71"/>
    <w:rsid w:val="5A2643BA"/>
    <w:rsid w:val="5A6B434B"/>
    <w:rsid w:val="5A84122B"/>
    <w:rsid w:val="5AA73034"/>
    <w:rsid w:val="5AB937E7"/>
    <w:rsid w:val="5B2F68BC"/>
    <w:rsid w:val="5B30375C"/>
    <w:rsid w:val="5BD10FE7"/>
    <w:rsid w:val="5BF97155"/>
    <w:rsid w:val="5BFD5D66"/>
    <w:rsid w:val="5C03184C"/>
    <w:rsid w:val="5C7646C3"/>
    <w:rsid w:val="5CE80D0E"/>
    <w:rsid w:val="5D010DE4"/>
    <w:rsid w:val="5D314A90"/>
    <w:rsid w:val="5D422B1D"/>
    <w:rsid w:val="5DEB66B2"/>
    <w:rsid w:val="5DEF6CD5"/>
    <w:rsid w:val="5F9B4E8D"/>
    <w:rsid w:val="60A9780E"/>
    <w:rsid w:val="60B834AE"/>
    <w:rsid w:val="61240AB8"/>
    <w:rsid w:val="61370231"/>
    <w:rsid w:val="61407AB6"/>
    <w:rsid w:val="61827570"/>
    <w:rsid w:val="62201BBE"/>
    <w:rsid w:val="622C7338"/>
    <w:rsid w:val="625157C0"/>
    <w:rsid w:val="626240C1"/>
    <w:rsid w:val="629A4040"/>
    <w:rsid w:val="629A5265"/>
    <w:rsid w:val="62BD29FB"/>
    <w:rsid w:val="63017F7F"/>
    <w:rsid w:val="63CD7582"/>
    <w:rsid w:val="646F1CFB"/>
    <w:rsid w:val="64971A3B"/>
    <w:rsid w:val="64C768C5"/>
    <w:rsid w:val="655C7692"/>
    <w:rsid w:val="655F3CAA"/>
    <w:rsid w:val="656D7D3E"/>
    <w:rsid w:val="65943B40"/>
    <w:rsid w:val="65B532A0"/>
    <w:rsid w:val="66060BE1"/>
    <w:rsid w:val="660D42EB"/>
    <w:rsid w:val="666256C2"/>
    <w:rsid w:val="666F3D77"/>
    <w:rsid w:val="66A24A70"/>
    <w:rsid w:val="67050E92"/>
    <w:rsid w:val="67184FF4"/>
    <w:rsid w:val="67471DB2"/>
    <w:rsid w:val="687D02BE"/>
    <w:rsid w:val="69760302"/>
    <w:rsid w:val="698B258C"/>
    <w:rsid w:val="6A08167C"/>
    <w:rsid w:val="6A3721C8"/>
    <w:rsid w:val="6A9F13D6"/>
    <w:rsid w:val="6AB50BBE"/>
    <w:rsid w:val="6AE42EE3"/>
    <w:rsid w:val="6AEC540A"/>
    <w:rsid w:val="6AEE2F4B"/>
    <w:rsid w:val="6AEF3DBC"/>
    <w:rsid w:val="6B4F59DB"/>
    <w:rsid w:val="6C23215A"/>
    <w:rsid w:val="6C9156E4"/>
    <w:rsid w:val="6D7540CD"/>
    <w:rsid w:val="6D8E3149"/>
    <w:rsid w:val="6E524BC8"/>
    <w:rsid w:val="6E8862AB"/>
    <w:rsid w:val="6ED66278"/>
    <w:rsid w:val="6F0672CA"/>
    <w:rsid w:val="6F0A6A05"/>
    <w:rsid w:val="6F3F0899"/>
    <w:rsid w:val="6F9D1431"/>
    <w:rsid w:val="702167C3"/>
    <w:rsid w:val="70243F91"/>
    <w:rsid w:val="70EB51E8"/>
    <w:rsid w:val="710B4F94"/>
    <w:rsid w:val="711D477F"/>
    <w:rsid w:val="717D1016"/>
    <w:rsid w:val="718B60DA"/>
    <w:rsid w:val="71DA4184"/>
    <w:rsid w:val="72475D1F"/>
    <w:rsid w:val="725A6CDA"/>
    <w:rsid w:val="727527CE"/>
    <w:rsid w:val="73662D8E"/>
    <w:rsid w:val="73680CFC"/>
    <w:rsid w:val="73A645B5"/>
    <w:rsid w:val="73EA4C45"/>
    <w:rsid w:val="740D1C18"/>
    <w:rsid w:val="740F5834"/>
    <w:rsid w:val="74167D81"/>
    <w:rsid w:val="744F5D97"/>
    <w:rsid w:val="74613D3D"/>
    <w:rsid w:val="752E1094"/>
    <w:rsid w:val="754041AF"/>
    <w:rsid w:val="75914F38"/>
    <w:rsid w:val="75CD0156"/>
    <w:rsid w:val="760C1F48"/>
    <w:rsid w:val="76225475"/>
    <w:rsid w:val="76460B93"/>
    <w:rsid w:val="76935909"/>
    <w:rsid w:val="76A741CA"/>
    <w:rsid w:val="76B23911"/>
    <w:rsid w:val="76B51C01"/>
    <w:rsid w:val="76B822C0"/>
    <w:rsid w:val="76E27502"/>
    <w:rsid w:val="77241DF1"/>
    <w:rsid w:val="77714E31"/>
    <w:rsid w:val="77826692"/>
    <w:rsid w:val="779109DE"/>
    <w:rsid w:val="782B751A"/>
    <w:rsid w:val="78D31C1F"/>
    <w:rsid w:val="790906B3"/>
    <w:rsid w:val="79100D8F"/>
    <w:rsid w:val="792A6F3C"/>
    <w:rsid w:val="79640326"/>
    <w:rsid w:val="799B2DA9"/>
    <w:rsid w:val="79BE7DDC"/>
    <w:rsid w:val="7A2B754E"/>
    <w:rsid w:val="7A3B5312"/>
    <w:rsid w:val="7AD52A1E"/>
    <w:rsid w:val="7AE579BC"/>
    <w:rsid w:val="7AFC23B2"/>
    <w:rsid w:val="7B5C116B"/>
    <w:rsid w:val="7BBB3537"/>
    <w:rsid w:val="7BE326E3"/>
    <w:rsid w:val="7C03240B"/>
    <w:rsid w:val="7C1A118A"/>
    <w:rsid w:val="7C1C3D54"/>
    <w:rsid w:val="7C363592"/>
    <w:rsid w:val="7CA602E3"/>
    <w:rsid w:val="7CD45377"/>
    <w:rsid w:val="7D2E1E7E"/>
    <w:rsid w:val="7D8C5A6C"/>
    <w:rsid w:val="7DA71455"/>
    <w:rsid w:val="7DC25DBB"/>
    <w:rsid w:val="7DD7298A"/>
    <w:rsid w:val="7E42504B"/>
    <w:rsid w:val="7E472C7C"/>
    <w:rsid w:val="7EA45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ocked="1"/>
    <w:lsdException w:qFormat="1" w:unhideWhenUsed="0" w:uiPriority="0" w:semiHidden="0" w:name="heading 6" w:locked="1"/>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iPriority="99" w:semiHidden="0" w:name="Normal Indent" w:locked="1"/>
    <w:lsdException w:qFormat="1"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qFormat="1" w:uiPriority="99" w:semiHidden="0"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ocked="1"/>
    <w:lsdException w:uiPriority="99" w:name="Closing" w:locked="1"/>
    <w:lsdException w:uiPriority="99" w:name="Signature" w:locked="1"/>
    <w:lsdException w:qFormat="1" w:uiPriority="1" w:semiHidden="0" w:name="Default Paragraph Font"/>
    <w:lsdException w:qFormat="1" w:unhideWhenUsed="0" w:uiPriority="0" w:semiHidden="0" w:name="Body Text"/>
    <w:lsdException w:qFormat="1" w:unhideWhenUsed="0" w:uiPriority="0" w:semiHidden="0"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0"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qFormat="1" w:unhideWhenUsed="0" w:uiPriority="0" w:semiHidden="0" w:name="Body Text 3" w:locked="1"/>
    <w:lsdException w:uiPriority="99" w:name="Body Text Indent 2" w:locked="1"/>
    <w:lsdException w:qFormat="1" w:unhideWhenUsed="0" w:uiPriority="0" w:semiHidden="0"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22" w:semiHidden="0" w:name="Strong" w:locked="1"/>
    <w:lsdException w:qFormat="1" w:unhideWhenUsed="0" w:uiPriority="20" w:semiHidden="0" w:name="Emphasis" w:locked="1"/>
    <w:lsdException w:qFormat="1" w:uiPriority="0" w:semiHidden="0" w:name="Document Map" w:locked="1"/>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semiHidden="0" w:name="Normal Table"/>
    <w:lsdException w:qFormat="1" w:unhideWhenUsed="0" w:uiPriority="0"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0" w:semiHidden="0" w:name="Balloon Text"/>
    <w:lsdException w:qFormat="1" w:unhideWhenUsed="0" w:uiPriority="0" w:semiHidden="0" w:name="Table Grid" w:locked="1"/>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Calibri" w:hAnsi="Calibri" w:eastAsia="宋体" w:cs="Times New Roman"/>
      <w:sz w:val="22"/>
      <w:szCs w:val="22"/>
      <w:lang w:val="en-US" w:eastAsia="en-US" w:bidi="ar-SA"/>
    </w:rPr>
  </w:style>
  <w:style w:type="paragraph" w:styleId="3">
    <w:name w:val="heading 1"/>
    <w:basedOn w:val="1"/>
    <w:next w:val="1"/>
    <w:link w:val="53"/>
    <w:qFormat/>
    <w:uiPriority w:val="0"/>
    <w:pPr>
      <w:ind w:left="3"/>
      <w:outlineLvl w:val="0"/>
    </w:pPr>
    <w:rPr>
      <w:rFonts w:ascii="Microsoft JhengHei" w:hAnsi="Microsoft JhengHei" w:eastAsia="Microsoft JhengHei"/>
      <w:b/>
      <w:bCs/>
      <w:sz w:val="44"/>
      <w:szCs w:val="44"/>
    </w:rPr>
  </w:style>
  <w:style w:type="paragraph" w:styleId="4">
    <w:name w:val="heading 2"/>
    <w:basedOn w:val="1"/>
    <w:next w:val="1"/>
    <w:link w:val="77"/>
    <w:qFormat/>
    <w:uiPriority w:val="0"/>
    <w:pPr>
      <w:ind w:left="100"/>
      <w:outlineLvl w:val="1"/>
    </w:pPr>
    <w:rPr>
      <w:rFonts w:ascii="Microsoft JhengHei" w:hAnsi="Microsoft JhengHei" w:eastAsia="Microsoft JhengHei"/>
      <w:b/>
      <w:bCs/>
      <w:sz w:val="32"/>
      <w:szCs w:val="32"/>
    </w:rPr>
  </w:style>
  <w:style w:type="paragraph" w:styleId="5">
    <w:name w:val="heading 3"/>
    <w:basedOn w:val="1"/>
    <w:next w:val="1"/>
    <w:link w:val="63"/>
    <w:qFormat/>
    <w:uiPriority w:val="0"/>
    <w:pPr>
      <w:ind w:left="237"/>
      <w:outlineLvl w:val="2"/>
    </w:pPr>
    <w:rPr>
      <w:rFonts w:ascii="宋体" w:hAnsi="宋体"/>
      <w:sz w:val="28"/>
      <w:szCs w:val="28"/>
    </w:rPr>
  </w:style>
  <w:style w:type="paragraph" w:styleId="6">
    <w:name w:val="heading 4"/>
    <w:basedOn w:val="1"/>
    <w:next w:val="1"/>
    <w:link w:val="83"/>
    <w:qFormat/>
    <w:uiPriority w:val="0"/>
    <w:pPr>
      <w:ind w:left="522"/>
      <w:outlineLvl w:val="3"/>
    </w:pPr>
    <w:rPr>
      <w:rFonts w:ascii="Times New Roman" w:hAnsi="Times New Roman"/>
      <w:b/>
      <w:bCs/>
      <w:sz w:val="21"/>
      <w:szCs w:val="21"/>
    </w:rPr>
  </w:style>
  <w:style w:type="paragraph" w:styleId="7">
    <w:name w:val="heading 6"/>
    <w:basedOn w:val="1"/>
    <w:next w:val="1"/>
    <w:link w:val="81"/>
    <w:qFormat/>
    <w:locked/>
    <w:uiPriority w:val="0"/>
    <w:pPr>
      <w:keepNext/>
      <w:keepLines/>
      <w:widowControl/>
      <w:tabs>
        <w:tab w:val="left" w:pos="1440"/>
      </w:tabs>
      <w:spacing w:before="240" w:after="64" w:line="320" w:lineRule="auto"/>
      <w:ind w:left="1152" w:hanging="1152"/>
      <w:outlineLvl w:val="5"/>
    </w:pPr>
    <w:rPr>
      <w:rFonts w:ascii="Arial" w:hAnsi="Arial" w:eastAsia="黑体"/>
      <w:b/>
      <w:bCs/>
      <w:sz w:val="24"/>
      <w:szCs w:val="24"/>
      <w:lang w:eastAsia="zh-CN"/>
    </w:rPr>
  </w:style>
  <w:style w:type="paragraph" w:styleId="8">
    <w:name w:val="heading 7"/>
    <w:basedOn w:val="1"/>
    <w:next w:val="1"/>
    <w:link w:val="80"/>
    <w:qFormat/>
    <w:locked/>
    <w:uiPriority w:val="0"/>
    <w:pPr>
      <w:keepNext/>
      <w:keepLines/>
      <w:widowControl/>
      <w:tabs>
        <w:tab w:val="left" w:pos="2520"/>
      </w:tabs>
      <w:spacing w:before="240" w:after="64" w:line="320" w:lineRule="auto"/>
      <w:ind w:left="1296" w:hanging="1296"/>
      <w:outlineLvl w:val="6"/>
    </w:pPr>
    <w:rPr>
      <w:rFonts w:ascii="Times New Roman" w:hAnsi="Times New Roman"/>
      <w:b/>
      <w:bCs/>
      <w:sz w:val="24"/>
      <w:szCs w:val="24"/>
      <w:lang w:eastAsia="zh-CN"/>
    </w:rPr>
  </w:style>
  <w:style w:type="paragraph" w:styleId="9">
    <w:name w:val="heading 8"/>
    <w:basedOn w:val="1"/>
    <w:next w:val="1"/>
    <w:link w:val="82"/>
    <w:qFormat/>
    <w:locked/>
    <w:uiPriority w:val="0"/>
    <w:pPr>
      <w:keepNext/>
      <w:keepLines/>
      <w:widowControl/>
      <w:tabs>
        <w:tab w:val="left" w:pos="1440"/>
      </w:tabs>
      <w:spacing w:before="240" w:after="64" w:line="320" w:lineRule="auto"/>
      <w:ind w:left="1440" w:hanging="1440"/>
      <w:outlineLvl w:val="7"/>
    </w:pPr>
    <w:rPr>
      <w:rFonts w:ascii="Arial" w:hAnsi="Arial" w:eastAsia="黑体"/>
      <w:sz w:val="24"/>
      <w:szCs w:val="24"/>
      <w:lang w:eastAsia="zh-CN"/>
    </w:rPr>
  </w:style>
  <w:style w:type="paragraph" w:styleId="10">
    <w:name w:val="heading 9"/>
    <w:basedOn w:val="1"/>
    <w:next w:val="1"/>
    <w:link w:val="56"/>
    <w:qFormat/>
    <w:locked/>
    <w:uiPriority w:val="0"/>
    <w:pPr>
      <w:keepNext/>
      <w:keepLines/>
      <w:widowControl/>
      <w:tabs>
        <w:tab w:val="left" w:pos="1584"/>
      </w:tabs>
      <w:spacing w:before="240" w:after="64" w:line="320" w:lineRule="auto"/>
      <w:ind w:left="1584" w:hanging="1584"/>
      <w:outlineLvl w:val="8"/>
    </w:pPr>
    <w:rPr>
      <w:rFonts w:ascii="Arial" w:hAnsi="Arial" w:eastAsia="黑体"/>
      <w:sz w:val="20"/>
      <w:szCs w:val="21"/>
      <w:lang w:eastAsia="zh-CN"/>
    </w:rPr>
  </w:style>
  <w:style w:type="character" w:default="1" w:styleId="36">
    <w:name w:val="Default Paragraph Font"/>
    <w:unhideWhenUsed/>
    <w:qFormat/>
    <w:uiPriority w:val="1"/>
  </w:style>
  <w:style w:type="table" w:default="1" w:styleId="34">
    <w:name w:val="Normal Table"/>
    <w:unhideWhenUsed/>
    <w:qFormat/>
    <w:uiPriority w:val="99"/>
    <w:tblPr>
      <w:tblLayout w:type="fixed"/>
      <w:tblCellMar>
        <w:top w:w="0" w:type="dxa"/>
        <w:left w:w="108" w:type="dxa"/>
        <w:bottom w:w="0" w:type="dxa"/>
        <w:right w:w="108" w:type="dxa"/>
      </w:tblCellMar>
    </w:tblPr>
  </w:style>
  <w:style w:type="paragraph" w:styleId="2">
    <w:name w:val="Body Text"/>
    <w:basedOn w:val="1"/>
    <w:next w:val="1"/>
    <w:link w:val="61"/>
    <w:qFormat/>
    <w:uiPriority w:val="0"/>
    <w:pPr>
      <w:ind w:left="100"/>
    </w:pPr>
    <w:rPr>
      <w:rFonts w:ascii="宋体" w:hAnsi="宋体"/>
      <w:sz w:val="21"/>
      <w:szCs w:val="21"/>
    </w:rPr>
  </w:style>
  <w:style w:type="paragraph" w:styleId="11">
    <w:name w:val="toc 7"/>
    <w:basedOn w:val="1"/>
    <w:next w:val="1"/>
    <w:qFormat/>
    <w:uiPriority w:val="39"/>
    <w:pPr>
      <w:ind w:left="2520" w:leftChars="1200"/>
      <w:jc w:val="both"/>
    </w:pPr>
    <w:rPr>
      <w:kern w:val="2"/>
      <w:sz w:val="21"/>
      <w:lang w:eastAsia="zh-CN"/>
    </w:rPr>
  </w:style>
  <w:style w:type="paragraph" w:styleId="12">
    <w:name w:val="Normal Indent"/>
    <w:basedOn w:val="1"/>
    <w:unhideWhenUsed/>
    <w:qFormat/>
    <w:locked/>
    <w:uiPriority w:val="99"/>
    <w:pPr>
      <w:ind w:firstLine="420"/>
    </w:pPr>
  </w:style>
  <w:style w:type="paragraph" w:styleId="13">
    <w:name w:val="Document Map"/>
    <w:basedOn w:val="1"/>
    <w:link w:val="42"/>
    <w:unhideWhenUsed/>
    <w:qFormat/>
    <w:locked/>
    <w:uiPriority w:val="0"/>
    <w:pPr>
      <w:jc w:val="both"/>
    </w:pPr>
    <w:rPr>
      <w:rFonts w:ascii="宋体"/>
      <w:kern w:val="2"/>
      <w:sz w:val="18"/>
      <w:szCs w:val="18"/>
      <w:lang w:eastAsia="zh-CN"/>
    </w:rPr>
  </w:style>
  <w:style w:type="paragraph" w:styleId="14">
    <w:name w:val="annotation text"/>
    <w:basedOn w:val="1"/>
    <w:link w:val="51"/>
    <w:qFormat/>
    <w:uiPriority w:val="0"/>
    <w:rPr>
      <w:rFonts w:ascii="Times New Roman" w:hAnsi="Times New Roman"/>
      <w:kern w:val="2"/>
      <w:sz w:val="21"/>
      <w:lang w:eastAsia="zh-CN"/>
    </w:rPr>
  </w:style>
  <w:style w:type="paragraph" w:styleId="15">
    <w:name w:val="Body Text 3"/>
    <w:basedOn w:val="1"/>
    <w:link w:val="59"/>
    <w:qFormat/>
    <w:locked/>
    <w:uiPriority w:val="0"/>
    <w:pPr>
      <w:jc w:val="both"/>
    </w:pPr>
    <w:rPr>
      <w:rFonts w:ascii="宋体"/>
      <w:sz w:val="24"/>
      <w:szCs w:val="20"/>
      <w:lang w:eastAsia="zh-CN"/>
    </w:rPr>
  </w:style>
  <w:style w:type="paragraph" w:styleId="16">
    <w:name w:val="Body Text Indent"/>
    <w:basedOn w:val="1"/>
    <w:link w:val="60"/>
    <w:qFormat/>
    <w:locked/>
    <w:uiPriority w:val="0"/>
    <w:pPr>
      <w:spacing w:after="120"/>
      <w:ind w:left="420" w:leftChars="200"/>
      <w:jc w:val="both"/>
    </w:pPr>
    <w:rPr>
      <w:sz w:val="20"/>
      <w:szCs w:val="24"/>
      <w:lang w:eastAsia="zh-CN"/>
    </w:rPr>
  </w:style>
  <w:style w:type="paragraph" w:styleId="17">
    <w:name w:val="toc 5"/>
    <w:basedOn w:val="1"/>
    <w:next w:val="1"/>
    <w:qFormat/>
    <w:uiPriority w:val="39"/>
    <w:pPr>
      <w:ind w:left="1680" w:leftChars="800"/>
      <w:jc w:val="both"/>
    </w:pPr>
    <w:rPr>
      <w:kern w:val="2"/>
      <w:sz w:val="21"/>
      <w:lang w:eastAsia="zh-CN"/>
    </w:rPr>
  </w:style>
  <w:style w:type="paragraph" w:styleId="18">
    <w:name w:val="toc 3"/>
    <w:basedOn w:val="1"/>
    <w:next w:val="1"/>
    <w:qFormat/>
    <w:uiPriority w:val="39"/>
    <w:pPr>
      <w:ind w:left="940"/>
    </w:pPr>
    <w:rPr>
      <w:rFonts w:ascii="宋体" w:hAnsi="宋体"/>
      <w:sz w:val="21"/>
      <w:szCs w:val="21"/>
    </w:rPr>
  </w:style>
  <w:style w:type="paragraph" w:styleId="19">
    <w:name w:val="toc 8"/>
    <w:basedOn w:val="1"/>
    <w:next w:val="1"/>
    <w:qFormat/>
    <w:uiPriority w:val="39"/>
    <w:pPr>
      <w:ind w:left="2940" w:leftChars="1400"/>
      <w:jc w:val="both"/>
    </w:pPr>
    <w:rPr>
      <w:kern w:val="2"/>
      <w:sz w:val="21"/>
      <w:lang w:eastAsia="zh-CN"/>
    </w:rPr>
  </w:style>
  <w:style w:type="paragraph" w:styleId="20">
    <w:name w:val="Date"/>
    <w:basedOn w:val="1"/>
    <w:next w:val="1"/>
    <w:link w:val="78"/>
    <w:qFormat/>
    <w:uiPriority w:val="0"/>
    <w:pPr>
      <w:ind w:left="100" w:leftChars="2500"/>
      <w:jc w:val="both"/>
    </w:pPr>
    <w:rPr>
      <w:kern w:val="2"/>
      <w:sz w:val="21"/>
      <w:lang w:eastAsia="zh-CN"/>
    </w:rPr>
  </w:style>
  <w:style w:type="paragraph" w:styleId="21">
    <w:name w:val="Balloon Text"/>
    <w:basedOn w:val="1"/>
    <w:link w:val="71"/>
    <w:qFormat/>
    <w:uiPriority w:val="0"/>
    <w:rPr>
      <w:sz w:val="18"/>
      <w:szCs w:val="18"/>
    </w:rPr>
  </w:style>
  <w:style w:type="paragraph" w:styleId="22">
    <w:name w:val="footer"/>
    <w:basedOn w:val="1"/>
    <w:link w:val="55"/>
    <w:qFormat/>
    <w:uiPriority w:val="0"/>
    <w:pPr>
      <w:tabs>
        <w:tab w:val="center" w:pos="4153"/>
        <w:tab w:val="right" w:pos="8306"/>
      </w:tabs>
      <w:snapToGrid w:val="0"/>
    </w:pPr>
    <w:rPr>
      <w:sz w:val="18"/>
      <w:szCs w:val="18"/>
    </w:rPr>
  </w:style>
  <w:style w:type="paragraph" w:styleId="23">
    <w:name w:val="header"/>
    <w:basedOn w:val="1"/>
    <w:link w:val="70"/>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qFormat/>
    <w:uiPriority w:val="39"/>
    <w:pPr>
      <w:ind w:left="100"/>
    </w:pPr>
    <w:rPr>
      <w:rFonts w:ascii="宋体" w:hAnsi="宋体"/>
      <w:sz w:val="21"/>
      <w:szCs w:val="21"/>
    </w:rPr>
  </w:style>
  <w:style w:type="paragraph" w:styleId="25">
    <w:name w:val="toc 4"/>
    <w:basedOn w:val="1"/>
    <w:next w:val="1"/>
    <w:qFormat/>
    <w:uiPriority w:val="39"/>
    <w:pPr>
      <w:ind w:left="1260" w:leftChars="600"/>
      <w:jc w:val="both"/>
    </w:pPr>
    <w:rPr>
      <w:kern w:val="2"/>
      <w:sz w:val="21"/>
      <w:lang w:eastAsia="zh-CN"/>
    </w:rPr>
  </w:style>
  <w:style w:type="paragraph" w:styleId="26">
    <w:name w:val="footnote text"/>
    <w:basedOn w:val="1"/>
    <w:link w:val="76"/>
    <w:qFormat/>
    <w:uiPriority w:val="99"/>
    <w:pPr>
      <w:snapToGrid w:val="0"/>
    </w:pPr>
    <w:rPr>
      <w:kern w:val="2"/>
      <w:sz w:val="18"/>
      <w:szCs w:val="18"/>
      <w:lang w:eastAsia="zh-CN"/>
    </w:rPr>
  </w:style>
  <w:style w:type="paragraph" w:styleId="27">
    <w:name w:val="toc 6"/>
    <w:basedOn w:val="1"/>
    <w:next w:val="1"/>
    <w:qFormat/>
    <w:uiPriority w:val="39"/>
    <w:pPr>
      <w:ind w:left="2100" w:leftChars="1000"/>
      <w:jc w:val="both"/>
    </w:pPr>
    <w:rPr>
      <w:kern w:val="2"/>
      <w:sz w:val="21"/>
      <w:lang w:eastAsia="zh-CN"/>
    </w:rPr>
  </w:style>
  <w:style w:type="paragraph" w:styleId="28">
    <w:name w:val="Body Text Indent 3"/>
    <w:basedOn w:val="1"/>
    <w:link w:val="65"/>
    <w:qFormat/>
    <w:locked/>
    <w:uiPriority w:val="0"/>
    <w:pPr>
      <w:spacing w:after="120"/>
      <w:ind w:left="420" w:leftChars="200"/>
      <w:jc w:val="both"/>
    </w:pPr>
    <w:rPr>
      <w:sz w:val="16"/>
      <w:szCs w:val="16"/>
      <w:lang w:eastAsia="zh-CN"/>
    </w:rPr>
  </w:style>
  <w:style w:type="paragraph" w:styleId="29">
    <w:name w:val="toc 2"/>
    <w:basedOn w:val="1"/>
    <w:next w:val="1"/>
    <w:qFormat/>
    <w:uiPriority w:val="39"/>
    <w:pPr>
      <w:ind w:left="520"/>
    </w:pPr>
    <w:rPr>
      <w:rFonts w:ascii="宋体" w:hAnsi="宋体"/>
      <w:sz w:val="21"/>
      <w:szCs w:val="21"/>
    </w:rPr>
  </w:style>
  <w:style w:type="paragraph" w:styleId="30">
    <w:name w:val="toc 9"/>
    <w:basedOn w:val="1"/>
    <w:next w:val="1"/>
    <w:qFormat/>
    <w:uiPriority w:val="39"/>
    <w:pPr>
      <w:ind w:left="3360" w:leftChars="1600"/>
      <w:jc w:val="both"/>
    </w:pPr>
    <w:rPr>
      <w:kern w:val="2"/>
      <w:sz w:val="21"/>
      <w:lang w:eastAsia="zh-CN"/>
    </w:rPr>
  </w:style>
  <w:style w:type="paragraph" w:styleId="31">
    <w:name w:val="Normal (Web)"/>
    <w:basedOn w:val="1"/>
    <w:qFormat/>
    <w:uiPriority w:val="99"/>
    <w:pPr>
      <w:widowControl/>
      <w:spacing w:before="100" w:beforeAutospacing="1" w:after="100" w:afterAutospacing="1"/>
    </w:pPr>
    <w:rPr>
      <w:rFonts w:ascii="宋体" w:hAnsi="宋体" w:cs="宋体"/>
      <w:sz w:val="24"/>
      <w:szCs w:val="24"/>
      <w:lang w:eastAsia="zh-CN"/>
    </w:rPr>
  </w:style>
  <w:style w:type="paragraph" w:styleId="32">
    <w:name w:val="Title"/>
    <w:basedOn w:val="1"/>
    <w:link w:val="64"/>
    <w:qFormat/>
    <w:locked/>
    <w:uiPriority w:val="0"/>
    <w:pPr>
      <w:adjustRightInd w:val="0"/>
      <w:spacing w:before="240" w:after="60" w:line="420" w:lineRule="atLeast"/>
      <w:jc w:val="center"/>
      <w:textAlignment w:val="baseline"/>
      <w:outlineLvl w:val="0"/>
    </w:pPr>
    <w:rPr>
      <w:rFonts w:ascii="Arial" w:hAnsi="Arial"/>
      <w:b/>
      <w:sz w:val="32"/>
      <w:szCs w:val="20"/>
      <w:lang w:eastAsia="zh-CN"/>
    </w:rPr>
  </w:style>
  <w:style w:type="paragraph" w:styleId="33">
    <w:name w:val="annotation subject"/>
    <w:basedOn w:val="14"/>
    <w:next w:val="14"/>
    <w:link w:val="52"/>
    <w:qFormat/>
    <w:locked/>
    <w:uiPriority w:val="0"/>
    <w:rPr>
      <w:rFonts w:ascii="Calibri" w:hAnsi="Calibri"/>
      <w:b/>
      <w:bCs/>
      <w:kern w:val="0"/>
      <w:sz w:val="20"/>
      <w:szCs w:val="24"/>
    </w:rPr>
  </w:style>
  <w:style w:type="table" w:styleId="35">
    <w:name w:val="Table Grid"/>
    <w:basedOn w:val="34"/>
    <w:qFormat/>
    <w:lock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7">
    <w:name w:val="FollowedHyperlink"/>
    <w:qFormat/>
    <w:uiPriority w:val="99"/>
    <w:rPr>
      <w:rFonts w:cs="Times New Roman"/>
      <w:color w:val="800080"/>
      <w:u w:val="single"/>
    </w:rPr>
  </w:style>
  <w:style w:type="character" w:styleId="38">
    <w:name w:val="Emphasis"/>
    <w:qFormat/>
    <w:locked/>
    <w:uiPriority w:val="20"/>
    <w:rPr>
      <w:i/>
    </w:rPr>
  </w:style>
  <w:style w:type="character" w:styleId="39">
    <w:name w:val="Hyperlink"/>
    <w:qFormat/>
    <w:uiPriority w:val="99"/>
    <w:rPr>
      <w:rFonts w:cs="Times New Roman"/>
      <w:color w:val="0000FF"/>
      <w:u w:val="single"/>
    </w:rPr>
  </w:style>
  <w:style w:type="character" w:styleId="40">
    <w:name w:val="footnote reference"/>
    <w:unhideWhenUsed/>
    <w:qFormat/>
    <w:locked/>
    <w:uiPriority w:val="99"/>
    <w:rPr>
      <w:vertAlign w:val="superscript"/>
    </w:rPr>
  </w:style>
  <w:style w:type="character" w:customStyle="1" w:styleId="41">
    <w:name w:val="font51"/>
    <w:qFormat/>
    <w:uiPriority w:val="0"/>
    <w:rPr>
      <w:rFonts w:hint="default" w:ascii="Arial" w:hAnsi="Arial" w:cs="Arial"/>
      <w:color w:val="000000"/>
      <w:sz w:val="20"/>
      <w:szCs w:val="20"/>
      <w:u w:val="none"/>
    </w:rPr>
  </w:style>
  <w:style w:type="character" w:customStyle="1" w:styleId="42">
    <w:name w:val="文档结构图 字符"/>
    <w:link w:val="13"/>
    <w:qFormat/>
    <w:uiPriority w:val="0"/>
    <w:rPr>
      <w:rFonts w:ascii="宋体"/>
      <w:kern w:val="2"/>
      <w:sz w:val="18"/>
      <w:szCs w:val="18"/>
    </w:rPr>
  </w:style>
  <w:style w:type="character" w:customStyle="1" w:styleId="43">
    <w:name w:val="列出段落 Char"/>
    <w:link w:val="44"/>
    <w:qFormat/>
    <w:locked/>
    <w:uiPriority w:val="34"/>
  </w:style>
  <w:style w:type="paragraph" w:customStyle="1" w:styleId="44">
    <w:name w:val="列出段落1"/>
    <w:basedOn w:val="1"/>
    <w:link w:val="43"/>
    <w:qFormat/>
    <w:uiPriority w:val="99"/>
  </w:style>
  <w:style w:type="character" w:customStyle="1" w:styleId="45">
    <w:name w:val="正文文本 3 Char1"/>
    <w:semiHidden/>
    <w:qFormat/>
    <w:uiPriority w:val="99"/>
    <w:rPr>
      <w:sz w:val="16"/>
      <w:szCs w:val="16"/>
      <w:lang w:eastAsia="en-US"/>
    </w:rPr>
  </w:style>
  <w:style w:type="character" w:customStyle="1" w:styleId="46">
    <w:name w:val="正文文本缩进 3 Char1"/>
    <w:semiHidden/>
    <w:qFormat/>
    <w:uiPriority w:val="99"/>
    <w:rPr>
      <w:sz w:val="16"/>
      <w:szCs w:val="16"/>
      <w:lang w:eastAsia="en-US"/>
    </w:rPr>
  </w:style>
  <w:style w:type="character" w:customStyle="1" w:styleId="47">
    <w:name w:val="font31"/>
    <w:qFormat/>
    <w:uiPriority w:val="0"/>
    <w:rPr>
      <w:rFonts w:hint="eastAsia" w:ascii="宋体" w:hAnsi="宋体" w:eastAsia="宋体" w:cs="宋体"/>
      <w:color w:val="000000"/>
      <w:sz w:val="20"/>
      <w:szCs w:val="20"/>
      <w:u w:val="none"/>
    </w:rPr>
  </w:style>
  <w:style w:type="character" w:customStyle="1" w:styleId="48">
    <w:name w:val="font01"/>
    <w:qFormat/>
    <w:uiPriority w:val="0"/>
    <w:rPr>
      <w:rFonts w:hint="default" w:ascii="Times New Roman" w:hAnsi="Times New Roman" w:cs="Times New Roman"/>
      <w:color w:val="000000"/>
      <w:sz w:val="20"/>
      <w:szCs w:val="20"/>
      <w:u w:val="none"/>
    </w:rPr>
  </w:style>
  <w:style w:type="character" w:customStyle="1" w:styleId="49">
    <w:name w:val="页脚 Char1"/>
    <w:qFormat/>
    <w:uiPriority w:val="0"/>
    <w:rPr>
      <w:rFonts w:ascii="Calibri" w:hAnsi="Calibri" w:eastAsia="宋体"/>
      <w:kern w:val="2"/>
      <w:sz w:val="18"/>
    </w:rPr>
  </w:style>
  <w:style w:type="character" w:customStyle="1" w:styleId="50">
    <w:name w:val="批注主题 Char1"/>
    <w:semiHidden/>
    <w:qFormat/>
    <w:uiPriority w:val="99"/>
    <w:rPr>
      <w:rFonts w:ascii="Times New Roman" w:hAnsi="Times New Roman" w:cs="Times New Roman"/>
      <w:b/>
      <w:bCs/>
      <w:kern w:val="2"/>
      <w:sz w:val="22"/>
      <w:szCs w:val="22"/>
      <w:lang w:eastAsia="en-US"/>
    </w:rPr>
  </w:style>
  <w:style w:type="character" w:customStyle="1" w:styleId="51">
    <w:name w:val="批注文字 字符"/>
    <w:link w:val="14"/>
    <w:qFormat/>
    <w:locked/>
    <w:uiPriority w:val="99"/>
    <w:rPr>
      <w:rFonts w:ascii="Times New Roman" w:hAnsi="Times New Roman" w:cs="Times New Roman"/>
      <w:kern w:val="2"/>
      <w:sz w:val="21"/>
      <w:lang w:eastAsia="zh-CN"/>
    </w:rPr>
  </w:style>
  <w:style w:type="character" w:customStyle="1" w:styleId="52">
    <w:name w:val="批注主题 字符"/>
    <w:link w:val="33"/>
    <w:qFormat/>
    <w:uiPriority w:val="0"/>
    <w:rPr>
      <w:b/>
      <w:bCs/>
      <w:szCs w:val="24"/>
    </w:rPr>
  </w:style>
  <w:style w:type="character" w:customStyle="1" w:styleId="53">
    <w:name w:val="标题 1 字符"/>
    <w:link w:val="3"/>
    <w:qFormat/>
    <w:locked/>
    <w:uiPriority w:val="0"/>
    <w:rPr>
      <w:rFonts w:ascii="Microsoft JhengHei" w:hAnsi="Microsoft JhengHei" w:eastAsia="Microsoft JhengHei" w:cs="Times New Roman"/>
      <w:b/>
      <w:bCs/>
      <w:sz w:val="44"/>
      <w:szCs w:val="44"/>
    </w:rPr>
  </w:style>
  <w:style w:type="character" w:customStyle="1" w:styleId="54">
    <w:name w:val="页眉 Char1"/>
    <w:qFormat/>
    <w:uiPriority w:val="0"/>
    <w:rPr>
      <w:rFonts w:ascii="Calibri" w:hAnsi="Calibri" w:eastAsia="宋体"/>
      <w:kern w:val="2"/>
      <w:sz w:val="18"/>
    </w:rPr>
  </w:style>
  <w:style w:type="character" w:customStyle="1" w:styleId="55">
    <w:name w:val="页脚 字符"/>
    <w:link w:val="22"/>
    <w:qFormat/>
    <w:locked/>
    <w:uiPriority w:val="99"/>
    <w:rPr>
      <w:rFonts w:cs="Times New Roman"/>
      <w:sz w:val="18"/>
      <w:szCs w:val="18"/>
    </w:rPr>
  </w:style>
  <w:style w:type="character" w:customStyle="1" w:styleId="56">
    <w:name w:val="标题 9 字符"/>
    <w:link w:val="10"/>
    <w:qFormat/>
    <w:uiPriority w:val="0"/>
    <w:rPr>
      <w:rFonts w:ascii="Arial" w:hAnsi="Arial" w:eastAsia="黑体"/>
      <w:szCs w:val="21"/>
    </w:rPr>
  </w:style>
  <w:style w:type="character" w:customStyle="1" w:styleId="57">
    <w:name w:val="未处理的提及1"/>
    <w:unhideWhenUsed/>
    <w:qFormat/>
    <w:uiPriority w:val="99"/>
    <w:rPr>
      <w:color w:val="605E5C"/>
      <w:shd w:val="clear" w:color="auto" w:fill="E1DFDD"/>
    </w:rPr>
  </w:style>
  <w:style w:type="character" w:customStyle="1" w:styleId="58">
    <w:name w:val="font21"/>
    <w:qFormat/>
    <w:uiPriority w:val="0"/>
    <w:rPr>
      <w:rFonts w:hint="eastAsia" w:ascii="宋体" w:hAnsi="宋体" w:eastAsia="宋体"/>
      <w:color w:val="000000"/>
      <w:sz w:val="20"/>
      <w:szCs w:val="20"/>
      <w:u w:val="none"/>
    </w:rPr>
  </w:style>
  <w:style w:type="character" w:customStyle="1" w:styleId="59">
    <w:name w:val="正文文本 3 字符"/>
    <w:link w:val="15"/>
    <w:qFormat/>
    <w:uiPriority w:val="0"/>
    <w:rPr>
      <w:rFonts w:ascii="宋体"/>
      <w:sz w:val="24"/>
    </w:rPr>
  </w:style>
  <w:style w:type="character" w:customStyle="1" w:styleId="60">
    <w:name w:val="正文文本缩进 字符"/>
    <w:link w:val="16"/>
    <w:qFormat/>
    <w:uiPriority w:val="0"/>
    <w:rPr>
      <w:szCs w:val="24"/>
    </w:rPr>
  </w:style>
  <w:style w:type="character" w:customStyle="1" w:styleId="61">
    <w:name w:val="正文文本 字符"/>
    <w:link w:val="2"/>
    <w:qFormat/>
    <w:locked/>
    <w:uiPriority w:val="0"/>
    <w:rPr>
      <w:rFonts w:cs="Times New Roman"/>
      <w:kern w:val="0"/>
      <w:sz w:val="22"/>
      <w:lang w:eastAsia="en-US"/>
    </w:rPr>
  </w:style>
  <w:style w:type="character" w:customStyle="1" w:styleId="62">
    <w:name w:val="font11"/>
    <w:qFormat/>
    <w:uiPriority w:val="0"/>
    <w:rPr>
      <w:rFonts w:hint="eastAsia" w:ascii="仿宋" w:hAnsi="仿宋" w:eastAsia="仿宋" w:cs="仿宋"/>
      <w:color w:val="000000"/>
      <w:sz w:val="18"/>
      <w:szCs w:val="18"/>
      <w:u w:val="none"/>
    </w:rPr>
  </w:style>
  <w:style w:type="character" w:customStyle="1" w:styleId="63">
    <w:name w:val="标题 3 字符"/>
    <w:link w:val="5"/>
    <w:qFormat/>
    <w:locked/>
    <w:uiPriority w:val="0"/>
    <w:rPr>
      <w:rFonts w:ascii="宋体" w:hAnsi="宋体" w:eastAsia="宋体" w:cs="Times New Roman"/>
      <w:sz w:val="28"/>
      <w:szCs w:val="28"/>
    </w:rPr>
  </w:style>
  <w:style w:type="character" w:customStyle="1" w:styleId="64">
    <w:name w:val="标题 字符"/>
    <w:link w:val="32"/>
    <w:qFormat/>
    <w:uiPriority w:val="0"/>
    <w:rPr>
      <w:rFonts w:ascii="Arial" w:hAnsi="Arial"/>
      <w:b/>
      <w:sz w:val="32"/>
    </w:rPr>
  </w:style>
  <w:style w:type="character" w:customStyle="1" w:styleId="65">
    <w:name w:val="正文文本缩进 3 字符"/>
    <w:link w:val="28"/>
    <w:qFormat/>
    <w:uiPriority w:val="0"/>
    <w:rPr>
      <w:sz w:val="16"/>
      <w:szCs w:val="16"/>
    </w:rPr>
  </w:style>
  <w:style w:type="character" w:customStyle="1" w:styleId="66">
    <w:name w:val="样式9 Char"/>
    <w:link w:val="67"/>
    <w:qFormat/>
    <w:locked/>
    <w:uiPriority w:val="0"/>
    <w:rPr>
      <w:rFonts w:ascii="仿宋_GB2312" w:hAnsi="Times New Roman" w:eastAsia="仿宋_GB2312"/>
      <w:sz w:val="32"/>
    </w:rPr>
  </w:style>
  <w:style w:type="paragraph" w:customStyle="1" w:styleId="67">
    <w:name w:val="样式9"/>
    <w:basedOn w:val="1"/>
    <w:link w:val="66"/>
    <w:qFormat/>
    <w:uiPriority w:val="0"/>
    <w:pPr>
      <w:widowControl/>
      <w:spacing w:line="360" w:lineRule="auto"/>
      <w:ind w:left="1271" w:hanging="420"/>
      <w:jc w:val="both"/>
    </w:pPr>
    <w:rPr>
      <w:rFonts w:ascii="仿宋_GB2312" w:hAnsi="Times New Roman" w:eastAsia="仿宋_GB2312"/>
      <w:sz w:val="32"/>
      <w:szCs w:val="20"/>
    </w:rPr>
  </w:style>
  <w:style w:type="character" w:customStyle="1" w:styleId="68">
    <w:name w:val="font71"/>
    <w:qFormat/>
    <w:uiPriority w:val="0"/>
    <w:rPr>
      <w:rFonts w:hint="eastAsia" w:ascii="仿宋" w:hAnsi="仿宋" w:eastAsia="仿宋" w:cs="仿宋"/>
      <w:color w:val="000000"/>
      <w:sz w:val="18"/>
      <w:szCs w:val="18"/>
      <w:u w:val="none"/>
    </w:rPr>
  </w:style>
  <w:style w:type="character" w:customStyle="1" w:styleId="69">
    <w:name w:val="正文文本缩进 Char1"/>
    <w:semiHidden/>
    <w:qFormat/>
    <w:uiPriority w:val="99"/>
    <w:rPr>
      <w:sz w:val="22"/>
      <w:szCs w:val="22"/>
      <w:lang w:eastAsia="en-US"/>
    </w:rPr>
  </w:style>
  <w:style w:type="character" w:customStyle="1" w:styleId="70">
    <w:name w:val="页眉 字符"/>
    <w:link w:val="23"/>
    <w:qFormat/>
    <w:locked/>
    <w:uiPriority w:val="0"/>
    <w:rPr>
      <w:rFonts w:cs="Times New Roman"/>
      <w:sz w:val="18"/>
      <w:szCs w:val="18"/>
    </w:rPr>
  </w:style>
  <w:style w:type="character" w:customStyle="1" w:styleId="71">
    <w:name w:val="批注框文本 字符"/>
    <w:link w:val="21"/>
    <w:qFormat/>
    <w:locked/>
    <w:uiPriority w:val="0"/>
    <w:rPr>
      <w:rFonts w:cs="Times New Roman"/>
      <w:sz w:val="18"/>
      <w:szCs w:val="18"/>
    </w:rPr>
  </w:style>
  <w:style w:type="character" w:customStyle="1" w:styleId="72">
    <w:name w:val="标题1 Char"/>
    <w:link w:val="73"/>
    <w:semiHidden/>
    <w:qFormat/>
    <w:locked/>
    <w:uiPriority w:val="0"/>
    <w:rPr>
      <w:rFonts w:ascii="Times New Roman" w:hAnsi="Times New Roman" w:eastAsia="黑体"/>
      <w:b/>
      <w:kern w:val="44"/>
      <w:sz w:val="24"/>
    </w:rPr>
  </w:style>
  <w:style w:type="paragraph" w:customStyle="1" w:styleId="73">
    <w:name w:val="标题1"/>
    <w:basedOn w:val="3"/>
    <w:link w:val="72"/>
    <w:semiHidden/>
    <w:qFormat/>
    <w:uiPriority w:val="0"/>
    <w:pPr>
      <w:keepNext/>
      <w:keepLines/>
      <w:pageBreakBefore/>
      <w:widowControl/>
      <w:tabs>
        <w:tab w:val="left" w:pos="1000"/>
      </w:tabs>
      <w:adjustRightInd w:val="0"/>
      <w:spacing w:before="120" w:after="120" w:line="360" w:lineRule="auto"/>
      <w:ind w:left="0"/>
    </w:pPr>
    <w:rPr>
      <w:rFonts w:ascii="Times New Roman" w:hAnsi="Times New Roman" w:eastAsia="黑体"/>
      <w:bCs w:val="0"/>
      <w:kern w:val="44"/>
      <w:sz w:val="24"/>
      <w:szCs w:val="20"/>
    </w:rPr>
  </w:style>
  <w:style w:type="character" w:customStyle="1" w:styleId="74">
    <w:name w:val="标题 Char1"/>
    <w:qFormat/>
    <w:uiPriority w:val="10"/>
    <w:rPr>
      <w:rFonts w:ascii="Cambria" w:hAnsi="Cambria" w:cs="Times New Roman"/>
      <w:b/>
      <w:bCs/>
      <w:sz w:val="32"/>
      <w:szCs w:val="32"/>
      <w:lang w:eastAsia="en-US"/>
    </w:rPr>
  </w:style>
  <w:style w:type="character" w:customStyle="1" w:styleId="75">
    <w:name w:val="Footnote Text Char"/>
    <w:semiHidden/>
    <w:qFormat/>
    <w:locked/>
    <w:uiPriority w:val="99"/>
    <w:rPr>
      <w:rFonts w:cs="Times New Roman"/>
      <w:kern w:val="2"/>
      <w:sz w:val="18"/>
      <w:szCs w:val="18"/>
      <w:lang w:eastAsia="zh-CN"/>
    </w:rPr>
  </w:style>
  <w:style w:type="character" w:customStyle="1" w:styleId="76">
    <w:name w:val="脚注文本 字符"/>
    <w:link w:val="26"/>
    <w:semiHidden/>
    <w:qFormat/>
    <w:locked/>
    <w:uiPriority w:val="99"/>
    <w:rPr>
      <w:rFonts w:cs="Times New Roman"/>
      <w:kern w:val="0"/>
      <w:sz w:val="18"/>
      <w:szCs w:val="18"/>
      <w:lang w:eastAsia="en-US"/>
    </w:rPr>
  </w:style>
  <w:style w:type="character" w:customStyle="1" w:styleId="77">
    <w:name w:val="标题 2 字符"/>
    <w:link w:val="4"/>
    <w:qFormat/>
    <w:locked/>
    <w:uiPriority w:val="0"/>
    <w:rPr>
      <w:rFonts w:ascii="Microsoft JhengHei" w:hAnsi="Microsoft JhengHei" w:eastAsia="Microsoft JhengHei" w:cs="Times New Roman"/>
      <w:b/>
      <w:bCs/>
      <w:sz w:val="32"/>
      <w:szCs w:val="32"/>
    </w:rPr>
  </w:style>
  <w:style w:type="character" w:customStyle="1" w:styleId="78">
    <w:name w:val="日期 字符"/>
    <w:link w:val="20"/>
    <w:qFormat/>
    <w:locked/>
    <w:uiPriority w:val="0"/>
    <w:rPr>
      <w:rFonts w:cs="Times New Roman"/>
      <w:kern w:val="2"/>
      <w:sz w:val="21"/>
      <w:lang w:eastAsia="zh-CN"/>
    </w:rPr>
  </w:style>
  <w:style w:type="character" w:customStyle="1" w:styleId="79">
    <w:name w:val="发布"/>
    <w:qFormat/>
    <w:uiPriority w:val="0"/>
    <w:rPr>
      <w:rFonts w:ascii="黑体" w:eastAsia="黑体"/>
      <w:spacing w:val="85"/>
      <w:w w:val="100"/>
      <w:position w:val="3"/>
      <w:sz w:val="28"/>
      <w:szCs w:val="28"/>
    </w:rPr>
  </w:style>
  <w:style w:type="character" w:customStyle="1" w:styleId="80">
    <w:name w:val="标题 7 字符"/>
    <w:link w:val="8"/>
    <w:qFormat/>
    <w:uiPriority w:val="0"/>
    <w:rPr>
      <w:rFonts w:ascii="Times New Roman" w:hAnsi="Times New Roman"/>
      <w:b/>
      <w:bCs/>
      <w:sz w:val="24"/>
      <w:szCs w:val="24"/>
    </w:rPr>
  </w:style>
  <w:style w:type="character" w:customStyle="1" w:styleId="81">
    <w:name w:val="标题 6 字符"/>
    <w:link w:val="7"/>
    <w:qFormat/>
    <w:uiPriority w:val="0"/>
    <w:rPr>
      <w:rFonts w:ascii="Arial" w:hAnsi="Arial" w:eastAsia="黑体"/>
      <w:b/>
      <w:bCs/>
      <w:sz w:val="24"/>
      <w:szCs w:val="24"/>
    </w:rPr>
  </w:style>
  <w:style w:type="character" w:customStyle="1" w:styleId="82">
    <w:name w:val="标题 8 字符"/>
    <w:link w:val="9"/>
    <w:qFormat/>
    <w:uiPriority w:val="0"/>
    <w:rPr>
      <w:rFonts w:ascii="Arial" w:hAnsi="Arial" w:eastAsia="黑体"/>
      <w:sz w:val="24"/>
      <w:szCs w:val="24"/>
    </w:rPr>
  </w:style>
  <w:style w:type="character" w:customStyle="1" w:styleId="83">
    <w:name w:val="标题 4 字符"/>
    <w:link w:val="6"/>
    <w:qFormat/>
    <w:locked/>
    <w:uiPriority w:val="0"/>
    <w:rPr>
      <w:rFonts w:ascii="Cambria" w:hAnsi="Cambria" w:eastAsia="宋体" w:cs="Times New Roman"/>
      <w:b/>
      <w:bCs/>
      <w:kern w:val="0"/>
      <w:sz w:val="28"/>
      <w:szCs w:val="28"/>
      <w:lang w:eastAsia="en-US"/>
    </w:rPr>
  </w:style>
  <w:style w:type="paragraph" w:customStyle="1" w:styleId="84">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85">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86">
    <w:name w:val="p16"/>
    <w:basedOn w:val="1"/>
    <w:qFormat/>
    <w:uiPriority w:val="0"/>
    <w:pPr>
      <w:spacing w:line="240" w:lineRule="atLeast"/>
      <w:ind w:left="420"/>
    </w:pPr>
    <w:rPr>
      <w:sz w:val="16"/>
      <w:szCs w:val="16"/>
    </w:rPr>
  </w:style>
  <w:style w:type="paragraph" w:customStyle="1" w:styleId="87">
    <w:name w:val="xl99"/>
    <w:basedOn w:val="1"/>
    <w:qFormat/>
    <w:uiPriority w:val="0"/>
    <w:pPr>
      <w:widowControl/>
      <w:pBdr>
        <w:top w:val="single" w:color="auto" w:sz="4" w:space="0"/>
        <w:left w:val="single" w:color="auto" w:sz="4" w:space="0"/>
        <w:right w:val="single" w:color="auto" w:sz="4" w:space="0"/>
      </w:pBdr>
      <w:spacing w:before="100" w:beforeAutospacing="1" w:after="100" w:afterAutospacing="1"/>
    </w:pPr>
    <w:rPr>
      <w:rFonts w:ascii="宋体" w:hAnsi="宋体" w:cs="宋体"/>
      <w:sz w:val="24"/>
      <w:szCs w:val="24"/>
      <w:lang w:eastAsia="zh-CN"/>
    </w:rPr>
  </w:style>
  <w:style w:type="paragraph" w:customStyle="1" w:styleId="88">
    <w:name w:val="xl87"/>
    <w:basedOn w:val="1"/>
    <w:qFormat/>
    <w:uiPriority w:val="0"/>
    <w:pPr>
      <w:widowControl/>
      <w:pBdr>
        <w:top w:val="single" w:color="auto" w:sz="4" w:space="0"/>
        <w:left w:val="single" w:color="auto" w:sz="4" w:space="0"/>
      </w:pBdr>
      <w:spacing w:before="100" w:beforeAutospacing="1" w:after="100" w:afterAutospacing="1"/>
    </w:pPr>
    <w:rPr>
      <w:rFonts w:ascii="宋体" w:hAnsi="宋体" w:cs="宋体"/>
      <w:sz w:val="24"/>
      <w:szCs w:val="24"/>
      <w:lang w:eastAsia="zh-CN"/>
    </w:rPr>
  </w:style>
  <w:style w:type="paragraph" w:customStyle="1" w:styleId="89">
    <w:name w:val="纯文本1"/>
    <w:qFormat/>
    <w:uiPriority w:val="0"/>
    <w:pPr>
      <w:suppressAutoHyphens/>
    </w:pPr>
    <w:rPr>
      <w:rFonts w:ascii="宋体" w:hAnsi="宋体" w:eastAsia="宋体" w:cs="宋体"/>
      <w:kern w:val="1"/>
      <w:lang w:val="en-US" w:eastAsia="ar-SA" w:bidi="ar-SA"/>
    </w:rPr>
  </w:style>
  <w:style w:type="paragraph" w:customStyle="1" w:styleId="90">
    <w:name w:val="三级条标题"/>
    <w:basedOn w:val="91"/>
    <w:next w:val="93"/>
    <w:qFormat/>
    <w:uiPriority w:val="0"/>
    <w:pPr>
      <w:tabs>
        <w:tab w:val="left" w:pos="1620"/>
      </w:tabs>
      <w:ind w:left="0" w:firstLine="0"/>
      <w:outlineLvl w:val="4"/>
    </w:pPr>
  </w:style>
  <w:style w:type="paragraph" w:customStyle="1" w:styleId="91">
    <w:name w:val="二级条标题"/>
    <w:basedOn w:val="92"/>
    <w:next w:val="93"/>
    <w:qFormat/>
    <w:uiPriority w:val="0"/>
    <w:pPr>
      <w:tabs>
        <w:tab w:val="left" w:pos="1620"/>
      </w:tabs>
      <w:spacing w:before="50" w:after="50"/>
      <w:outlineLvl w:val="3"/>
    </w:pPr>
  </w:style>
  <w:style w:type="paragraph" w:customStyle="1" w:styleId="92">
    <w:name w:val="一级条标题"/>
    <w:next w:val="93"/>
    <w:qFormat/>
    <w:uiPriority w:val="0"/>
    <w:pPr>
      <w:tabs>
        <w:tab w:val="left" w:pos="1620"/>
      </w:tabs>
      <w:spacing w:before="156" w:beforeLines="50" w:after="156" w:afterLines="50"/>
      <w:ind w:left="1620" w:hanging="360"/>
      <w:outlineLvl w:val="2"/>
    </w:pPr>
    <w:rPr>
      <w:rFonts w:ascii="黑体" w:hAnsi="Times New Roman" w:eastAsia="黑体" w:cs="Times New Roman"/>
      <w:sz w:val="21"/>
      <w:szCs w:val="21"/>
      <w:lang w:val="en-US" w:eastAsia="zh-CN" w:bidi="ar-SA"/>
    </w:rPr>
  </w:style>
  <w:style w:type="paragraph" w:customStyle="1" w:styleId="93">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94">
    <w:name w:val="font6"/>
    <w:basedOn w:val="1"/>
    <w:qFormat/>
    <w:uiPriority w:val="0"/>
    <w:pPr>
      <w:widowControl/>
      <w:spacing w:before="100" w:beforeAutospacing="1" w:after="100" w:afterAutospacing="1"/>
    </w:pPr>
    <w:rPr>
      <w:rFonts w:ascii="宋体" w:hAnsi="宋体" w:cs="宋体"/>
      <w:sz w:val="18"/>
      <w:szCs w:val="18"/>
      <w:lang w:eastAsia="zh-CN"/>
    </w:rPr>
  </w:style>
  <w:style w:type="paragraph" w:customStyle="1" w:styleId="95">
    <w:name w:val="数字编号列项（二级）"/>
    <w:qFormat/>
    <w:uiPriority w:val="0"/>
    <w:pPr>
      <w:numPr>
        <w:ilvl w:val="1"/>
        <w:numId w:val="1"/>
      </w:numPr>
      <w:tabs>
        <w:tab w:val="left" w:pos="1260"/>
      </w:tabs>
      <w:jc w:val="both"/>
    </w:pPr>
    <w:rPr>
      <w:rFonts w:ascii="宋体" w:hAnsi="Times New Roman" w:eastAsia="宋体" w:cs="Times New Roman"/>
      <w:sz w:val="21"/>
      <w:lang w:val="en-US" w:eastAsia="zh-CN" w:bidi="ar-SA"/>
    </w:rPr>
  </w:style>
  <w:style w:type="paragraph" w:customStyle="1" w:styleId="96">
    <w:name w:val="封面标准文稿编辑信息"/>
    <w:basedOn w:val="97"/>
    <w:qFormat/>
    <w:uiPriority w:val="0"/>
    <w:pPr>
      <w:spacing w:before="180" w:line="180" w:lineRule="exact"/>
    </w:pPr>
    <w:rPr>
      <w:sz w:val="21"/>
    </w:rPr>
  </w:style>
  <w:style w:type="paragraph" w:customStyle="1" w:styleId="97">
    <w:name w:val="封面标准文稿类别"/>
    <w:basedOn w:val="98"/>
    <w:qFormat/>
    <w:uiPriority w:val="0"/>
    <w:pPr>
      <w:spacing w:after="160" w:line="240" w:lineRule="auto"/>
    </w:pPr>
    <w:rPr>
      <w:sz w:val="24"/>
    </w:rPr>
  </w:style>
  <w:style w:type="paragraph" w:customStyle="1" w:styleId="98">
    <w:name w:val="封面一致性程度标识"/>
    <w:basedOn w:val="99"/>
    <w:qFormat/>
    <w:uiPriority w:val="0"/>
    <w:pPr>
      <w:spacing w:before="440"/>
    </w:pPr>
    <w:rPr>
      <w:rFonts w:ascii="宋体" w:eastAsia="宋体"/>
    </w:rPr>
  </w:style>
  <w:style w:type="paragraph" w:customStyle="1" w:styleId="99">
    <w:name w:val="封面标准英文名称"/>
    <w:basedOn w:val="100"/>
    <w:qFormat/>
    <w:uiPriority w:val="0"/>
    <w:pPr>
      <w:spacing w:before="370" w:line="400" w:lineRule="exact"/>
    </w:pPr>
    <w:rPr>
      <w:rFonts w:ascii="Times New Roman"/>
      <w:sz w:val="28"/>
      <w:szCs w:val="28"/>
    </w:rPr>
  </w:style>
  <w:style w:type="paragraph" w:customStyle="1" w:styleId="100">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01">
    <w:name w:val="xl97"/>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sz w:val="24"/>
      <w:szCs w:val="24"/>
      <w:lang w:eastAsia="zh-CN"/>
    </w:rPr>
  </w:style>
  <w:style w:type="paragraph" w:customStyle="1" w:styleId="102">
    <w:name w:val="其他标准标志"/>
    <w:basedOn w:val="85"/>
    <w:qFormat/>
    <w:uiPriority w:val="0"/>
    <w:pPr>
      <w:framePr w:w="6101" w:vAnchor="page" w:hAnchor="page" w:x="4673" w:y="942"/>
    </w:pPr>
    <w:rPr>
      <w:w w:val="130"/>
    </w:rPr>
  </w:style>
  <w:style w:type="paragraph" w:customStyle="1" w:styleId="103">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仿宋" w:hAnsi="仿宋" w:eastAsia="仿宋" w:cs="宋体"/>
      <w:sz w:val="20"/>
      <w:lang w:eastAsia="zh-CN"/>
    </w:rPr>
  </w:style>
  <w:style w:type="paragraph" w:customStyle="1" w:styleId="104">
    <w:name w:val="xl67"/>
    <w:basedOn w:val="1"/>
    <w:qFormat/>
    <w:uiPriority w:val="0"/>
    <w:pPr>
      <w:widowControl/>
      <w:spacing w:before="100" w:beforeAutospacing="1" w:after="100" w:afterAutospacing="1"/>
      <w:jc w:val="center"/>
      <w:textAlignment w:val="center"/>
    </w:pPr>
    <w:rPr>
      <w:rFonts w:ascii="仿宋" w:hAnsi="仿宋" w:eastAsia="仿宋" w:cs="宋体"/>
      <w:sz w:val="20"/>
      <w:lang w:eastAsia="zh-CN"/>
    </w:rPr>
  </w:style>
  <w:style w:type="paragraph" w:customStyle="1" w:styleId="105">
    <w:name w:val="font5"/>
    <w:basedOn w:val="1"/>
    <w:qFormat/>
    <w:uiPriority w:val="0"/>
    <w:pPr>
      <w:widowControl/>
      <w:spacing w:before="100" w:beforeAutospacing="1" w:after="100" w:afterAutospacing="1"/>
    </w:pPr>
    <w:rPr>
      <w:rFonts w:ascii="宋体" w:hAnsi="宋体" w:cs="宋体"/>
      <w:sz w:val="18"/>
      <w:szCs w:val="18"/>
      <w:lang w:eastAsia="zh-CN"/>
    </w:rPr>
  </w:style>
  <w:style w:type="paragraph" w:customStyle="1" w:styleId="106">
    <w:name w:val="正文图标题"/>
    <w:next w:val="93"/>
    <w:qFormat/>
    <w:uiPriority w:val="0"/>
    <w:pPr>
      <w:numPr>
        <w:ilvl w:val="0"/>
        <w:numId w:val="2"/>
      </w:numPr>
      <w:spacing w:before="156" w:beforeLines="50" w:after="156" w:afterLines="50"/>
      <w:jc w:val="center"/>
    </w:pPr>
    <w:rPr>
      <w:rFonts w:ascii="黑体" w:hAnsi="Times New Roman" w:eastAsia="黑体" w:cs="Times New Roman"/>
      <w:sz w:val="21"/>
      <w:lang w:val="en-US" w:eastAsia="zh-CN" w:bidi="ar-SA"/>
    </w:rPr>
  </w:style>
  <w:style w:type="paragraph" w:customStyle="1" w:styleId="107">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sz w:val="24"/>
      <w:szCs w:val="24"/>
      <w:lang w:eastAsia="zh-CN"/>
    </w:rPr>
  </w:style>
  <w:style w:type="paragraph" w:customStyle="1" w:styleId="108">
    <w:name w:val="xl9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both"/>
    </w:pPr>
    <w:rPr>
      <w:rFonts w:ascii="宋体" w:hAnsi="宋体" w:cs="宋体"/>
      <w:sz w:val="24"/>
      <w:szCs w:val="24"/>
      <w:lang w:eastAsia="zh-CN"/>
    </w:rPr>
  </w:style>
  <w:style w:type="paragraph" w:customStyle="1" w:styleId="109">
    <w:name w:val="章标题"/>
    <w:next w:val="93"/>
    <w:qFormat/>
    <w:uiPriority w:val="0"/>
    <w:pPr>
      <w:numPr>
        <w:ilvl w:val="0"/>
        <w:numId w:val="3"/>
      </w:num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110">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仿宋" w:hAnsi="仿宋" w:eastAsia="仿宋" w:cs="宋体"/>
      <w:sz w:val="18"/>
      <w:szCs w:val="18"/>
      <w:lang w:eastAsia="zh-CN"/>
    </w:rPr>
  </w:style>
  <w:style w:type="paragraph" w:customStyle="1" w:styleId="111">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112">
    <w:name w:val="实施日期"/>
    <w:basedOn w:val="111"/>
    <w:qFormat/>
    <w:uiPriority w:val="0"/>
    <w:pPr>
      <w:framePr w:vAnchor="page" w:hAnchor="text"/>
      <w:jc w:val="right"/>
    </w:pPr>
  </w:style>
  <w:style w:type="paragraph" w:customStyle="1" w:styleId="113">
    <w:name w:val="xl81"/>
    <w:basedOn w:val="1"/>
    <w:qFormat/>
    <w:uiPriority w:val="0"/>
    <w:pPr>
      <w:widowControl/>
      <w:spacing w:before="100" w:beforeAutospacing="1" w:after="100" w:afterAutospacing="1"/>
      <w:jc w:val="center"/>
      <w:textAlignment w:val="center"/>
    </w:pPr>
    <w:rPr>
      <w:rFonts w:ascii="宋体" w:hAnsi="宋体" w:cs="宋体"/>
      <w:b/>
      <w:bCs/>
      <w:sz w:val="24"/>
      <w:szCs w:val="24"/>
      <w:lang w:eastAsia="zh-CN"/>
    </w:rPr>
  </w:style>
  <w:style w:type="paragraph" w:customStyle="1" w:styleId="114">
    <w:name w:val="xl84"/>
    <w:basedOn w:val="1"/>
    <w:qFormat/>
    <w:uiPriority w:val="0"/>
    <w:pPr>
      <w:widowControl/>
      <w:pBdr>
        <w:top w:val="single" w:color="auto" w:sz="4" w:space="0"/>
        <w:bottom w:val="single" w:color="auto" w:sz="4" w:space="0"/>
      </w:pBdr>
      <w:spacing w:before="100" w:beforeAutospacing="1" w:after="100" w:afterAutospacing="1"/>
      <w:jc w:val="center"/>
    </w:pPr>
    <w:rPr>
      <w:rFonts w:ascii="宋体" w:hAnsi="宋体" w:cs="宋体"/>
      <w:b/>
      <w:bCs/>
      <w:sz w:val="24"/>
      <w:szCs w:val="24"/>
      <w:lang w:eastAsia="zh-CN"/>
    </w:rPr>
  </w:style>
  <w:style w:type="paragraph" w:customStyle="1" w:styleId="115">
    <w:name w:val="列出段落11"/>
    <w:basedOn w:val="1"/>
    <w:qFormat/>
    <w:uiPriority w:val="34"/>
    <w:pPr>
      <w:ind w:firstLine="420" w:firstLineChars="200"/>
      <w:jc w:val="both"/>
    </w:pPr>
    <w:rPr>
      <w:rFonts w:ascii="Times New Roman" w:hAnsi="Times New Roman"/>
      <w:kern w:val="2"/>
      <w:sz w:val="21"/>
      <w:szCs w:val="24"/>
      <w:lang w:eastAsia="zh-CN"/>
    </w:rPr>
  </w:style>
  <w:style w:type="paragraph" w:customStyle="1" w:styleId="116">
    <w:name w:val="其他发布部门"/>
    <w:basedOn w:val="117"/>
    <w:qFormat/>
    <w:uiPriority w:val="0"/>
    <w:pPr>
      <w:framePr w:y="15310"/>
      <w:spacing w:line="0" w:lineRule="atLeast"/>
    </w:pPr>
    <w:rPr>
      <w:rFonts w:ascii="黑体" w:eastAsia="黑体"/>
      <w:b w:val="0"/>
    </w:rPr>
  </w:style>
  <w:style w:type="paragraph" w:customStyle="1" w:styleId="117">
    <w:name w:val="发布部门"/>
    <w:next w:val="93"/>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18">
    <w:name w:val="p17"/>
    <w:basedOn w:val="1"/>
    <w:qFormat/>
    <w:uiPriority w:val="0"/>
    <w:pPr>
      <w:widowControl/>
      <w:spacing w:line="240" w:lineRule="atLeast"/>
      <w:jc w:val="both"/>
    </w:pPr>
    <w:rPr>
      <w:rFonts w:ascii="宋体" w:hAnsi="宋体" w:cs="宋体"/>
      <w:sz w:val="32"/>
      <w:szCs w:val="32"/>
      <w:lang w:eastAsia="zh-CN"/>
    </w:rPr>
  </w:style>
  <w:style w:type="paragraph" w:customStyle="1" w:styleId="119">
    <w:name w:val="xl10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sz w:val="24"/>
      <w:szCs w:val="24"/>
      <w:lang w:eastAsia="zh-CN"/>
    </w:rPr>
  </w:style>
  <w:style w:type="paragraph" w:customStyle="1" w:styleId="120">
    <w:name w:val="xl90"/>
    <w:basedOn w:val="1"/>
    <w:qFormat/>
    <w:uiPriority w:val="0"/>
    <w:pPr>
      <w:widowControl/>
      <w:pBdr>
        <w:left w:val="single" w:color="auto" w:sz="4" w:space="0"/>
        <w:bottom w:val="single" w:color="auto" w:sz="4" w:space="0"/>
        <w:right w:val="single" w:color="auto" w:sz="4" w:space="0"/>
      </w:pBdr>
      <w:spacing w:before="100" w:beforeAutospacing="1" w:after="100" w:afterAutospacing="1"/>
    </w:pPr>
    <w:rPr>
      <w:rFonts w:ascii="宋体" w:hAnsi="宋体" w:cs="宋体"/>
      <w:sz w:val="24"/>
      <w:szCs w:val="24"/>
      <w:lang w:eastAsia="zh-CN"/>
    </w:rPr>
  </w:style>
  <w:style w:type="paragraph" w:customStyle="1" w:styleId="121">
    <w:name w:val="_Style 1"/>
    <w:basedOn w:val="1"/>
    <w:qFormat/>
    <w:uiPriority w:val="34"/>
    <w:pPr>
      <w:ind w:firstLine="420" w:firstLineChars="200"/>
      <w:jc w:val="both"/>
    </w:pPr>
    <w:rPr>
      <w:rFonts w:ascii="Times New Roman" w:hAnsi="Times New Roman"/>
      <w:kern w:val="2"/>
      <w:sz w:val="21"/>
      <w:szCs w:val="20"/>
      <w:lang w:eastAsia="zh-CN"/>
    </w:rPr>
  </w:style>
  <w:style w:type="paragraph" w:customStyle="1" w:styleId="122">
    <w:name w:val="msonormalcxspmiddle"/>
    <w:basedOn w:val="1"/>
    <w:qFormat/>
    <w:uiPriority w:val="0"/>
    <w:pPr>
      <w:widowControl/>
      <w:spacing w:before="100" w:beforeAutospacing="1" w:after="100" w:afterAutospacing="1"/>
    </w:pPr>
    <w:rPr>
      <w:rFonts w:ascii="宋体" w:hAnsi="宋体" w:cs="宋体"/>
      <w:sz w:val="24"/>
      <w:lang w:eastAsia="zh-CN"/>
    </w:rPr>
  </w:style>
  <w:style w:type="paragraph" w:customStyle="1" w:styleId="123">
    <w:name w:val="font7"/>
    <w:basedOn w:val="1"/>
    <w:qFormat/>
    <w:uiPriority w:val="0"/>
    <w:pPr>
      <w:widowControl/>
      <w:spacing w:before="100" w:beforeAutospacing="1" w:after="100" w:afterAutospacing="1"/>
    </w:pPr>
    <w:rPr>
      <w:rFonts w:ascii="仿宋" w:hAnsi="仿宋" w:eastAsia="仿宋" w:cs="宋体"/>
      <w:color w:val="000000"/>
      <w:sz w:val="18"/>
      <w:szCs w:val="18"/>
      <w:lang w:eastAsia="zh-CN"/>
    </w:rPr>
  </w:style>
  <w:style w:type="paragraph" w:customStyle="1" w:styleId="124">
    <w:name w:val="xl89"/>
    <w:basedOn w:val="1"/>
    <w:qFormat/>
    <w:uiPriority w:val="0"/>
    <w:pPr>
      <w:widowControl/>
      <w:pBdr>
        <w:left w:val="single" w:color="auto" w:sz="4" w:space="0"/>
        <w:right w:val="single" w:color="auto" w:sz="4" w:space="0"/>
      </w:pBdr>
      <w:spacing w:before="100" w:beforeAutospacing="1" w:after="100" w:afterAutospacing="1"/>
    </w:pPr>
    <w:rPr>
      <w:rFonts w:ascii="宋体" w:hAnsi="宋体" w:cs="宋体"/>
      <w:sz w:val="24"/>
      <w:szCs w:val="24"/>
      <w:lang w:eastAsia="zh-CN"/>
    </w:rPr>
  </w:style>
  <w:style w:type="paragraph" w:customStyle="1" w:styleId="125">
    <w:name w:val="xl94"/>
    <w:basedOn w:val="1"/>
    <w:qFormat/>
    <w:uiPriority w:val="0"/>
    <w:pPr>
      <w:widowControl/>
      <w:pBdr>
        <w:top w:val="single" w:color="000000" w:sz="4" w:space="0"/>
        <w:left w:val="single" w:color="000000" w:sz="4" w:space="0"/>
        <w:right w:val="single" w:color="000000" w:sz="4" w:space="0"/>
      </w:pBdr>
      <w:spacing w:before="100" w:beforeAutospacing="1" w:after="100" w:afterAutospacing="1"/>
    </w:pPr>
    <w:rPr>
      <w:rFonts w:ascii="宋体" w:hAnsi="宋体" w:cs="宋体"/>
      <w:color w:val="000000"/>
      <w:sz w:val="24"/>
      <w:szCs w:val="24"/>
      <w:lang w:eastAsia="zh-CN"/>
    </w:rPr>
  </w:style>
  <w:style w:type="paragraph" w:customStyle="1" w:styleId="126">
    <w:name w:val="TOC 标题1"/>
    <w:basedOn w:val="3"/>
    <w:next w:val="1"/>
    <w:qFormat/>
    <w:uiPriority w:val="0"/>
    <w:pPr>
      <w:widowControl/>
      <w:spacing w:before="480" w:line="276" w:lineRule="auto"/>
      <w:outlineLvl w:val="9"/>
    </w:pPr>
    <w:rPr>
      <w:rFonts w:ascii="Cambria" w:hAnsi="Cambria"/>
      <w:color w:val="365F91"/>
      <w:sz w:val="28"/>
      <w:szCs w:val="28"/>
    </w:rPr>
  </w:style>
  <w:style w:type="paragraph" w:customStyle="1" w:styleId="127">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sz w:val="24"/>
      <w:szCs w:val="24"/>
      <w:lang w:eastAsia="zh-CN"/>
    </w:rPr>
  </w:style>
  <w:style w:type="paragraph" w:customStyle="1" w:styleId="128">
    <w:name w:val="注×：（正文）"/>
    <w:qFormat/>
    <w:uiPriority w:val="0"/>
    <w:pPr>
      <w:numPr>
        <w:ilvl w:val="0"/>
        <w:numId w:val="4"/>
      </w:numPr>
      <w:jc w:val="both"/>
    </w:pPr>
    <w:rPr>
      <w:rFonts w:ascii="宋体" w:hAnsi="Times New Roman" w:eastAsia="宋体" w:cs="Times New Roman"/>
      <w:sz w:val="18"/>
      <w:szCs w:val="18"/>
      <w:lang w:val="en-US" w:eastAsia="zh-CN" w:bidi="ar-SA"/>
    </w:rPr>
  </w:style>
  <w:style w:type="paragraph" w:customStyle="1" w:styleId="129">
    <w:name w:val="样式 标题 2 + 宋体 非加粗"/>
    <w:basedOn w:val="4"/>
    <w:qFormat/>
    <w:uiPriority w:val="0"/>
    <w:pPr>
      <w:spacing w:line="413" w:lineRule="auto"/>
    </w:pPr>
    <w:rPr>
      <w:rFonts w:ascii="宋体" w:hAnsi="宋体"/>
    </w:rPr>
  </w:style>
  <w:style w:type="paragraph" w:customStyle="1" w:styleId="130">
    <w:name w:val="xl71"/>
    <w:basedOn w:val="1"/>
    <w:qFormat/>
    <w:uiPriority w:val="0"/>
    <w:pPr>
      <w:widowControl/>
      <w:shd w:val="clear" w:color="000000" w:fill="FFFF00"/>
      <w:spacing w:before="100" w:beforeAutospacing="1" w:after="100" w:afterAutospacing="1"/>
      <w:jc w:val="center"/>
      <w:textAlignment w:val="center"/>
    </w:pPr>
    <w:rPr>
      <w:rFonts w:ascii="宋体" w:hAnsi="宋体" w:cs="宋体"/>
      <w:sz w:val="24"/>
      <w:szCs w:val="24"/>
      <w:lang w:eastAsia="zh-CN"/>
    </w:rPr>
  </w:style>
  <w:style w:type="paragraph" w:customStyle="1" w:styleId="131">
    <w:name w:val="前言、引言标题"/>
    <w:next w:val="93"/>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32">
    <w:name w:val="目次、标准名称标题"/>
    <w:basedOn w:val="1"/>
    <w:next w:val="93"/>
    <w:qFormat/>
    <w:uiPriority w:val="0"/>
    <w:pPr>
      <w:keepNext/>
      <w:pageBreakBefore/>
      <w:widowControl/>
      <w:shd w:val="clear" w:color="FFFFFF" w:fill="FFFFFF"/>
      <w:spacing w:before="640" w:after="560" w:line="460" w:lineRule="exact"/>
      <w:jc w:val="center"/>
      <w:outlineLvl w:val="0"/>
    </w:pPr>
    <w:rPr>
      <w:rFonts w:ascii="黑体" w:eastAsia="黑体"/>
      <w:sz w:val="32"/>
      <w:szCs w:val="20"/>
    </w:rPr>
  </w:style>
  <w:style w:type="paragraph" w:customStyle="1" w:styleId="133">
    <w:name w:val="字母编号列项（一级）"/>
    <w:qFormat/>
    <w:uiPriority w:val="0"/>
    <w:pPr>
      <w:numPr>
        <w:ilvl w:val="0"/>
        <w:numId w:val="1"/>
      </w:numPr>
      <w:tabs>
        <w:tab w:val="left" w:pos="840"/>
      </w:tabs>
      <w:jc w:val="both"/>
    </w:pPr>
    <w:rPr>
      <w:rFonts w:ascii="宋体" w:hAnsi="Times New Roman" w:eastAsia="宋体" w:cs="Times New Roman"/>
      <w:sz w:val="21"/>
      <w:lang w:val="en-US" w:eastAsia="zh-CN" w:bidi="ar-SA"/>
    </w:rPr>
  </w:style>
  <w:style w:type="paragraph" w:customStyle="1" w:styleId="134">
    <w:name w:val="附录表标题"/>
    <w:basedOn w:val="1"/>
    <w:next w:val="93"/>
    <w:qFormat/>
    <w:uiPriority w:val="0"/>
    <w:pPr>
      <w:tabs>
        <w:tab w:val="left" w:pos="180"/>
        <w:tab w:val="left" w:pos="780"/>
      </w:tabs>
      <w:spacing w:before="50" w:beforeLines="50" w:after="50" w:afterLines="50"/>
      <w:jc w:val="center"/>
    </w:pPr>
    <w:rPr>
      <w:rFonts w:ascii="黑体" w:eastAsia="黑体"/>
      <w:szCs w:val="21"/>
    </w:rPr>
  </w:style>
  <w:style w:type="paragraph" w:customStyle="1" w:styleId="135">
    <w:name w:val="xl103"/>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pPr>
    <w:rPr>
      <w:rFonts w:ascii="宋体" w:hAnsi="宋体" w:cs="宋体"/>
      <w:sz w:val="24"/>
      <w:szCs w:val="24"/>
      <w:lang w:eastAsia="zh-CN"/>
    </w:rPr>
  </w:style>
  <w:style w:type="paragraph" w:customStyle="1" w:styleId="136">
    <w:name w:val="附录章标题"/>
    <w:next w:val="93"/>
    <w:qFormat/>
    <w:uiPriority w:val="0"/>
    <w:pPr>
      <w:numPr>
        <w:ilvl w:val="1"/>
        <w:numId w:val="5"/>
      </w:numPr>
      <w:wordWrap w:val="0"/>
      <w:overflowPunct w:val="0"/>
      <w:autoSpaceDE w:val="0"/>
      <w:spacing w:before="100" w:beforeLines="100" w:after="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37">
    <w:name w:val="样式 标题 1 + 非加粗"/>
    <w:basedOn w:val="3"/>
    <w:qFormat/>
    <w:uiPriority w:val="0"/>
    <w:pPr>
      <w:spacing w:before="340" w:beforeLines="100" w:after="330" w:afterLines="100"/>
    </w:pPr>
    <w:rPr>
      <w:rFonts w:ascii="Calibri" w:hAnsi="Calibri" w:eastAsia="黑体"/>
      <w:b w:val="0"/>
      <w:bCs w:val="0"/>
      <w:sz w:val="21"/>
    </w:rPr>
  </w:style>
  <w:style w:type="paragraph" w:customStyle="1" w:styleId="138">
    <w:name w:val="xl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sz w:val="24"/>
      <w:szCs w:val="24"/>
      <w:lang w:eastAsia="zh-CN"/>
    </w:rPr>
  </w:style>
  <w:style w:type="paragraph" w:customStyle="1" w:styleId="139">
    <w:name w:val="xl66"/>
    <w:basedOn w:val="1"/>
    <w:qFormat/>
    <w:uiPriority w:val="0"/>
    <w:pPr>
      <w:widowControl/>
      <w:spacing w:before="100" w:beforeAutospacing="1" w:after="100" w:afterAutospacing="1"/>
      <w:jc w:val="center"/>
      <w:textAlignment w:val="center"/>
    </w:pPr>
    <w:rPr>
      <w:rFonts w:ascii="宋体" w:hAnsi="宋体" w:cs="宋体"/>
      <w:sz w:val="24"/>
      <w:szCs w:val="24"/>
      <w:lang w:eastAsia="zh-CN"/>
    </w:rPr>
  </w:style>
  <w:style w:type="paragraph" w:customStyle="1" w:styleId="140">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b/>
      <w:bCs/>
      <w:sz w:val="24"/>
      <w:szCs w:val="24"/>
      <w:lang w:eastAsia="zh-CN"/>
    </w:rPr>
  </w:style>
  <w:style w:type="paragraph" w:customStyle="1" w:styleId="141">
    <w:name w:val="xl88"/>
    <w:basedOn w:val="1"/>
    <w:qFormat/>
    <w:uiPriority w:val="0"/>
    <w:pPr>
      <w:widowControl/>
      <w:pBdr>
        <w:left w:val="single" w:color="auto" w:sz="4" w:space="0"/>
      </w:pBdr>
      <w:spacing w:before="100" w:beforeAutospacing="1" w:after="100" w:afterAutospacing="1"/>
    </w:pPr>
    <w:rPr>
      <w:rFonts w:ascii="宋体" w:hAnsi="宋体" w:cs="宋体"/>
      <w:sz w:val="24"/>
      <w:szCs w:val="24"/>
      <w:lang w:eastAsia="zh-CN"/>
    </w:rPr>
  </w:style>
  <w:style w:type="paragraph" w:customStyle="1" w:styleId="142">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sz w:val="24"/>
      <w:szCs w:val="24"/>
      <w:lang w:eastAsia="zh-CN"/>
    </w:rPr>
  </w:style>
  <w:style w:type="paragraph" w:customStyle="1" w:styleId="143">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44">
    <w:name w:val="font8"/>
    <w:basedOn w:val="1"/>
    <w:qFormat/>
    <w:uiPriority w:val="0"/>
    <w:pPr>
      <w:widowControl/>
      <w:spacing w:before="100" w:beforeAutospacing="1" w:after="100" w:afterAutospacing="1"/>
    </w:pPr>
    <w:rPr>
      <w:rFonts w:ascii="仿宋" w:hAnsi="仿宋" w:eastAsia="仿宋" w:cs="宋体"/>
      <w:b/>
      <w:bCs/>
      <w:i/>
      <w:iCs/>
      <w:color w:val="FF0000"/>
      <w:sz w:val="18"/>
      <w:szCs w:val="18"/>
      <w:u w:val="single"/>
      <w:lang w:eastAsia="zh-CN"/>
    </w:rPr>
  </w:style>
  <w:style w:type="paragraph" w:styleId="145">
    <w:name w:val="List Paragraph"/>
    <w:basedOn w:val="1"/>
    <w:qFormat/>
    <w:uiPriority w:val="99"/>
    <w:pPr>
      <w:ind w:firstLine="420" w:firstLineChars="200"/>
    </w:pPr>
  </w:style>
  <w:style w:type="paragraph" w:customStyle="1" w:styleId="146">
    <w:name w:val="xl95"/>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sz w:val="24"/>
      <w:szCs w:val="24"/>
      <w:lang w:eastAsia="zh-CN"/>
    </w:rPr>
  </w:style>
  <w:style w:type="paragraph" w:customStyle="1" w:styleId="147">
    <w:name w:val="其他发布日期"/>
    <w:basedOn w:val="111"/>
    <w:qFormat/>
    <w:uiPriority w:val="0"/>
    <w:pPr>
      <w:framePr w:vAnchor="page" w:hAnchor="text" w:x="1419"/>
    </w:pPr>
  </w:style>
  <w:style w:type="paragraph" w:customStyle="1" w:styleId="148">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149">
    <w:name w:val="列出段落2"/>
    <w:basedOn w:val="1"/>
    <w:qFormat/>
    <w:uiPriority w:val="99"/>
    <w:pPr>
      <w:ind w:firstLine="420" w:firstLineChars="200"/>
      <w:jc w:val="both"/>
    </w:pPr>
    <w:rPr>
      <w:rFonts w:ascii="Times New Roman" w:hAnsi="Times New Roman"/>
      <w:kern w:val="2"/>
      <w:sz w:val="21"/>
      <w:lang w:eastAsia="zh-CN"/>
    </w:rPr>
  </w:style>
  <w:style w:type="paragraph" w:customStyle="1" w:styleId="150">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sz w:val="20"/>
      <w:lang w:eastAsia="zh-CN"/>
    </w:rPr>
  </w:style>
  <w:style w:type="paragraph" w:customStyle="1" w:styleId="151">
    <w:name w:val="终结线"/>
    <w:basedOn w:val="1"/>
    <w:qFormat/>
    <w:uiPriority w:val="0"/>
    <w:pPr>
      <w:framePr w:hSpace="181" w:vSpace="181" w:wrap="around" w:vAnchor="text" w:hAnchor="margin" w:xAlign="center" w:y="285"/>
    </w:pPr>
  </w:style>
  <w:style w:type="paragraph" w:customStyle="1" w:styleId="152">
    <w:name w:val="Table Paragraph"/>
    <w:basedOn w:val="1"/>
    <w:qFormat/>
    <w:uiPriority w:val="99"/>
  </w:style>
  <w:style w:type="paragraph" w:customStyle="1" w:styleId="153">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color w:val="000000"/>
      <w:sz w:val="24"/>
      <w:szCs w:val="24"/>
      <w:lang w:eastAsia="zh-CN"/>
    </w:rPr>
  </w:style>
  <w:style w:type="paragraph" w:customStyle="1" w:styleId="154">
    <w:name w:val="msonormal"/>
    <w:basedOn w:val="1"/>
    <w:qFormat/>
    <w:uiPriority w:val="0"/>
    <w:pPr>
      <w:widowControl/>
      <w:spacing w:before="100" w:beforeAutospacing="1" w:after="100" w:afterAutospacing="1"/>
    </w:pPr>
    <w:rPr>
      <w:rFonts w:ascii="宋体" w:hAnsi="宋体" w:cs="宋体"/>
      <w:sz w:val="24"/>
      <w:szCs w:val="24"/>
      <w:lang w:eastAsia="zh-CN"/>
    </w:rPr>
  </w:style>
  <w:style w:type="paragraph" w:customStyle="1" w:styleId="155">
    <w:name w:val="正文表标题"/>
    <w:next w:val="93"/>
    <w:qFormat/>
    <w:uiPriority w:val="0"/>
    <w:pPr>
      <w:numPr>
        <w:ilvl w:val="0"/>
        <w:numId w:val="6"/>
      </w:num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156">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仿宋" w:hAnsi="仿宋" w:eastAsia="仿宋" w:cs="宋体"/>
      <w:sz w:val="20"/>
      <w:lang w:eastAsia="zh-CN"/>
    </w:rPr>
  </w:style>
  <w:style w:type="paragraph" w:customStyle="1" w:styleId="157">
    <w:name w:val="二级无"/>
    <w:basedOn w:val="91"/>
    <w:qFormat/>
    <w:uiPriority w:val="0"/>
    <w:pPr>
      <w:spacing w:before="0" w:beforeLines="0" w:after="0" w:afterLines="0"/>
      <w:ind w:left="0"/>
    </w:pPr>
    <w:rPr>
      <w:rFonts w:ascii="宋体" w:eastAsia="宋体"/>
    </w:rPr>
  </w:style>
  <w:style w:type="paragraph" w:customStyle="1" w:styleId="158">
    <w:name w:val="附录一级条标题"/>
    <w:basedOn w:val="136"/>
    <w:next w:val="93"/>
    <w:qFormat/>
    <w:uiPriority w:val="0"/>
    <w:pPr>
      <w:numPr>
        <w:ilvl w:val="2"/>
      </w:numPr>
      <w:tabs>
        <w:tab w:val="left" w:pos="360"/>
      </w:tabs>
      <w:autoSpaceDN w:val="0"/>
      <w:spacing w:before="50" w:beforeLines="50" w:after="50" w:afterLines="50"/>
      <w:outlineLvl w:val="2"/>
    </w:pPr>
  </w:style>
  <w:style w:type="paragraph" w:customStyle="1" w:styleId="159">
    <w:name w:val="List Paragraph1"/>
    <w:basedOn w:val="1"/>
    <w:qFormat/>
    <w:uiPriority w:val="0"/>
    <w:pPr>
      <w:ind w:firstLine="420" w:firstLineChars="200"/>
      <w:jc w:val="both"/>
    </w:pPr>
    <w:rPr>
      <w:kern w:val="2"/>
      <w:sz w:val="21"/>
      <w:lang w:eastAsia="zh-CN"/>
    </w:rPr>
  </w:style>
  <w:style w:type="paragraph" w:customStyle="1" w:styleId="160">
    <w:name w:val="附录图标号"/>
    <w:basedOn w:val="1"/>
    <w:qFormat/>
    <w:uiPriority w:val="0"/>
    <w:pPr>
      <w:keepNext/>
      <w:pageBreakBefore/>
      <w:widowControl/>
      <w:numPr>
        <w:ilvl w:val="0"/>
        <w:numId w:val="7"/>
      </w:numPr>
      <w:spacing w:line="14" w:lineRule="exact"/>
      <w:jc w:val="center"/>
      <w:outlineLvl w:val="0"/>
    </w:pPr>
    <w:rPr>
      <w:color w:val="FFFFFF"/>
    </w:rPr>
  </w:style>
  <w:style w:type="paragraph" w:customStyle="1" w:styleId="161">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cs="宋体"/>
      <w:sz w:val="24"/>
      <w:szCs w:val="24"/>
      <w:lang w:eastAsia="zh-CN"/>
    </w:rPr>
  </w:style>
  <w:style w:type="paragraph" w:customStyle="1" w:styleId="162">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b/>
      <w:bCs/>
      <w:i/>
      <w:iCs/>
      <w:color w:val="FF0000"/>
      <w:sz w:val="18"/>
      <w:szCs w:val="18"/>
      <w:lang w:eastAsia="zh-CN"/>
    </w:rPr>
  </w:style>
  <w:style w:type="paragraph" w:customStyle="1" w:styleId="163">
    <w:name w:val="xl85"/>
    <w:basedOn w:val="1"/>
    <w:qFormat/>
    <w:uiPriority w:val="0"/>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b/>
      <w:bCs/>
      <w:sz w:val="24"/>
      <w:szCs w:val="24"/>
      <w:lang w:eastAsia="zh-CN"/>
    </w:rPr>
  </w:style>
  <w:style w:type="paragraph" w:customStyle="1" w:styleId="164">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sz w:val="18"/>
      <w:szCs w:val="18"/>
      <w:lang w:eastAsia="zh-CN"/>
    </w:rPr>
  </w:style>
  <w:style w:type="paragraph" w:customStyle="1" w:styleId="165">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66">
    <w:name w:val="xl101"/>
    <w:basedOn w:val="1"/>
    <w:qFormat/>
    <w:uiPriority w:val="0"/>
    <w:pPr>
      <w:widowControl/>
      <w:spacing w:before="100" w:beforeAutospacing="1" w:after="100" w:afterAutospacing="1"/>
      <w:jc w:val="center"/>
    </w:pPr>
    <w:rPr>
      <w:rFonts w:ascii="宋体" w:hAnsi="宋体" w:cs="宋体"/>
      <w:b/>
      <w:bCs/>
      <w:sz w:val="32"/>
      <w:szCs w:val="32"/>
      <w:lang w:eastAsia="zh-CN"/>
    </w:rPr>
  </w:style>
  <w:style w:type="paragraph" w:customStyle="1" w:styleId="167">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color w:val="000000"/>
      <w:sz w:val="18"/>
      <w:szCs w:val="18"/>
      <w:lang w:eastAsia="zh-CN"/>
    </w:rPr>
  </w:style>
  <w:style w:type="paragraph" w:customStyle="1" w:styleId="168">
    <w:name w:val="p0"/>
    <w:basedOn w:val="1"/>
    <w:qFormat/>
    <w:uiPriority w:val="0"/>
    <w:pPr>
      <w:widowControl/>
      <w:jc w:val="both"/>
    </w:pPr>
    <w:rPr>
      <w:rFonts w:cs="宋体"/>
      <w:sz w:val="21"/>
      <w:szCs w:val="21"/>
      <w:lang w:eastAsia="zh-CN"/>
    </w:rPr>
  </w:style>
  <w:style w:type="paragraph" w:customStyle="1" w:styleId="169">
    <w:name w:val="p15"/>
    <w:basedOn w:val="1"/>
    <w:qFormat/>
    <w:uiPriority w:val="0"/>
    <w:pPr>
      <w:widowControl/>
      <w:spacing w:line="240" w:lineRule="atLeast"/>
      <w:jc w:val="both"/>
    </w:pPr>
    <w:rPr>
      <w:rFonts w:ascii="Times New Roman" w:hAnsi="Times New Roman"/>
      <w:sz w:val="32"/>
      <w:lang w:eastAsia="zh-CN"/>
    </w:rPr>
  </w:style>
  <w:style w:type="paragraph" w:customStyle="1" w:styleId="170">
    <w:name w:val="附录表标号"/>
    <w:basedOn w:val="1"/>
    <w:next w:val="93"/>
    <w:qFormat/>
    <w:uiPriority w:val="0"/>
    <w:pPr>
      <w:numPr>
        <w:ilvl w:val="0"/>
        <w:numId w:val="8"/>
      </w:numPr>
      <w:spacing w:line="14" w:lineRule="exact"/>
      <w:ind w:left="811" w:hanging="448"/>
      <w:jc w:val="center"/>
      <w:outlineLvl w:val="0"/>
    </w:pPr>
    <w:rPr>
      <w:color w:val="FFFFFF"/>
    </w:rPr>
  </w:style>
  <w:style w:type="paragraph" w:customStyle="1" w:styleId="171">
    <w:name w:val="列出段落111"/>
    <w:basedOn w:val="1"/>
    <w:qFormat/>
    <w:uiPriority w:val="34"/>
    <w:pPr>
      <w:ind w:firstLine="420" w:firstLineChars="200"/>
      <w:jc w:val="both"/>
    </w:pPr>
    <w:rPr>
      <w:rFonts w:ascii="Times New Roman" w:hAnsi="Times New Roman"/>
      <w:kern w:val="2"/>
      <w:sz w:val="21"/>
      <w:szCs w:val="24"/>
      <w:lang w:eastAsia="zh-CN"/>
    </w:rPr>
  </w:style>
  <w:style w:type="paragraph" w:customStyle="1" w:styleId="172">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sz w:val="24"/>
      <w:szCs w:val="24"/>
      <w:lang w:eastAsia="zh-CN"/>
    </w:rPr>
  </w:style>
  <w:style w:type="paragraph" w:customStyle="1" w:styleId="173">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sz w:val="24"/>
      <w:szCs w:val="24"/>
      <w:lang w:eastAsia="zh-CN"/>
    </w:rPr>
  </w:style>
  <w:style w:type="paragraph" w:customStyle="1" w:styleId="174">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175">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76">
    <w:name w:val="四级条标题"/>
    <w:basedOn w:val="90"/>
    <w:next w:val="93"/>
    <w:qFormat/>
    <w:uiPriority w:val="0"/>
    <w:pPr>
      <w:ind w:left="1620" w:hanging="360"/>
      <w:outlineLvl w:val="5"/>
    </w:pPr>
  </w:style>
  <w:style w:type="paragraph" w:customStyle="1" w:styleId="177">
    <w:name w:val="xl102"/>
    <w:basedOn w:val="1"/>
    <w:qFormat/>
    <w:uiPriority w:val="0"/>
    <w:pPr>
      <w:widowControl/>
      <w:spacing w:before="100" w:beforeAutospacing="1" w:after="100" w:afterAutospacing="1"/>
      <w:jc w:val="center"/>
    </w:pPr>
    <w:rPr>
      <w:rFonts w:ascii="宋体" w:hAnsi="宋体" w:cs="宋体"/>
      <w:b/>
      <w:bCs/>
      <w:sz w:val="24"/>
      <w:szCs w:val="24"/>
      <w:lang w:eastAsia="zh-CN"/>
    </w:rPr>
  </w:style>
  <w:style w:type="paragraph" w:customStyle="1" w:styleId="178">
    <w:name w:val="列出段落3"/>
    <w:basedOn w:val="1"/>
    <w:qFormat/>
    <w:uiPriority w:val="34"/>
    <w:pPr>
      <w:ind w:firstLine="420" w:firstLineChars="200"/>
      <w:jc w:val="both"/>
    </w:pPr>
    <w:rPr>
      <w:kern w:val="2"/>
      <w:sz w:val="21"/>
      <w:szCs w:val="20"/>
      <w:lang w:eastAsia="zh-CN"/>
    </w:rPr>
  </w:style>
  <w:style w:type="paragraph" w:customStyle="1" w:styleId="179">
    <w:name w:val="附录图标题"/>
    <w:basedOn w:val="1"/>
    <w:next w:val="93"/>
    <w:qFormat/>
    <w:uiPriority w:val="0"/>
    <w:pPr>
      <w:tabs>
        <w:tab w:val="left" w:pos="360"/>
      </w:tabs>
      <w:spacing w:before="50" w:beforeLines="50" w:after="50" w:afterLines="50"/>
      <w:ind w:left="360" w:hanging="360"/>
      <w:jc w:val="center"/>
    </w:pPr>
    <w:rPr>
      <w:rFonts w:ascii="黑体" w:eastAsia="黑体"/>
      <w:szCs w:val="21"/>
    </w:rPr>
  </w:style>
  <w:style w:type="paragraph" w:customStyle="1" w:styleId="180">
    <w:name w:val="xl91"/>
    <w:basedOn w:val="1"/>
    <w:qFormat/>
    <w:uiPriority w:val="0"/>
    <w:pPr>
      <w:widowControl/>
      <w:spacing w:before="100" w:beforeAutospacing="1" w:after="100" w:afterAutospacing="1"/>
      <w:jc w:val="center"/>
    </w:pPr>
    <w:rPr>
      <w:rFonts w:ascii="宋体" w:hAnsi="宋体" w:cs="宋体"/>
      <w:b/>
      <w:bCs/>
      <w:color w:val="000000"/>
      <w:sz w:val="32"/>
      <w:szCs w:val="32"/>
      <w:lang w:eastAsia="zh-CN"/>
    </w:rPr>
  </w:style>
  <w:style w:type="paragraph" w:customStyle="1" w:styleId="181">
    <w:name w:val="附录标识"/>
    <w:basedOn w:val="1"/>
    <w:next w:val="93"/>
    <w:qFormat/>
    <w:uiPriority w:val="0"/>
    <w:pPr>
      <w:keepNext/>
      <w:widowControl/>
      <w:numPr>
        <w:ilvl w:val="0"/>
        <w:numId w:val="5"/>
      </w:numPr>
      <w:shd w:val="clear" w:color="FFFFFF" w:fill="FFFFFF"/>
      <w:tabs>
        <w:tab w:val="left" w:pos="6405"/>
      </w:tabs>
      <w:spacing w:before="640" w:after="280"/>
      <w:jc w:val="center"/>
      <w:outlineLvl w:val="0"/>
    </w:pPr>
    <w:rPr>
      <w:rFonts w:ascii="黑体" w:eastAsia="黑体"/>
      <w:szCs w:val="20"/>
    </w:rPr>
  </w:style>
  <w:style w:type="paragraph" w:customStyle="1" w:styleId="182">
    <w:name w:val="注×："/>
    <w:qFormat/>
    <w:uiPriority w:val="0"/>
    <w:pPr>
      <w:widowControl w:val="0"/>
      <w:numPr>
        <w:ilvl w:val="0"/>
        <w:numId w:val="9"/>
      </w:numPr>
      <w:autoSpaceDE w:val="0"/>
      <w:autoSpaceDN w:val="0"/>
      <w:jc w:val="both"/>
    </w:pPr>
    <w:rPr>
      <w:rFonts w:ascii="宋体" w:hAnsi="Times New Roman" w:eastAsia="宋体" w:cs="Times New Roman"/>
      <w:sz w:val="18"/>
      <w:szCs w:val="18"/>
      <w:lang w:val="en-US" w:eastAsia="zh-CN" w:bidi="ar-SA"/>
    </w:rPr>
  </w:style>
  <w:style w:type="paragraph" w:customStyle="1" w:styleId="183">
    <w:name w:val="普通(网站)1"/>
    <w:basedOn w:val="1"/>
    <w:qFormat/>
    <w:uiPriority w:val="0"/>
    <w:pPr>
      <w:widowControl/>
      <w:spacing w:before="100" w:beforeAutospacing="1" w:after="100" w:afterAutospacing="1"/>
    </w:pPr>
    <w:rPr>
      <w:rFonts w:ascii="宋体" w:hAnsi="宋体" w:cs="宋体"/>
      <w:color w:val="000000"/>
      <w:sz w:val="24"/>
      <w:szCs w:val="24"/>
      <w:lang w:eastAsia="zh-CN"/>
    </w:rPr>
  </w:style>
  <w:style w:type="paragraph" w:customStyle="1" w:styleId="184">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仿宋" w:hAnsi="仿宋" w:eastAsia="仿宋" w:cs="宋体"/>
      <w:sz w:val="24"/>
      <w:szCs w:val="24"/>
      <w:lang w:eastAsia="zh-CN"/>
    </w:rPr>
  </w:style>
  <w:style w:type="paragraph" w:customStyle="1" w:styleId="185">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sz w:val="24"/>
      <w:szCs w:val="24"/>
      <w:lang w:eastAsia="zh-CN"/>
    </w:rPr>
  </w:style>
  <w:style w:type="paragraph" w:customStyle="1" w:styleId="186">
    <w:name w:val="其他实施日期"/>
    <w:basedOn w:val="112"/>
    <w:qFormat/>
    <w:uiPriority w:val="0"/>
  </w:style>
  <w:style w:type="paragraph" w:customStyle="1" w:styleId="187">
    <w:name w:val="xl83"/>
    <w:basedOn w:val="1"/>
    <w:qFormat/>
    <w:uiPriority w:val="0"/>
    <w:pPr>
      <w:widowControl/>
      <w:pBdr>
        <w:top w:val="single" w:color="auto" w:sz="4" w:space="0"/>
        <w:left w:val="single" w:color="auto" w:sz="4" w:space="0"/>
        <w:right w:val="single" w:color="auto" w:sz="4" w:space="0"/>
      </w:pBdr>
      <w:spacing w:before="100" w:beforeAutospacing="1" w:after="100" w:afterAutospacing="1"/>
    </w:pPr>
    <w:rPr>
      <w:rFonts w:ascii="宋体" w:hAnsi="宋体" w:cs="宋体"/>
      <w:sz w:val="24"/>
      <w:szCs w:val="24"/>
      <w:lang w:eastAsia="zh-CN"/>
    </w:rPr>
  </w:style>
  <w:style w:type="table" w:customStyle="1" w:styleId="188">
    <w:name w:val="Table Normal1"/>
    <w:semiHidden/>
    <w:qFormat/>
    <w:uiPriority w:val="99"/>
    <w:pPr>
      <w:widowControl w:val="0"/>
    </w:pPr>
    <w:rPr>
      <w:sz w:val="22"/>
      <w:szCs w:val="22"/>
      <w:lang w:eastAsia="en-US"/>
    </w:rPr>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87</Pages>
  <Words>6690</Words>
  <Characters>38134</Characters>
  <Lines>317</Lines>
  <Paragraphs>89</Paragraphs>
  <TotalTime>365</TotalTime>
  <ScaleCrop>false</ScaleCrop>
  <LinksUpToDate>false</LinksUpToDate>
  <CharactersWithSpaces>44735</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2022-11-01T02:32:00Z</dcterms:created>
  <dc:creator>袁静</dc:creator>
  <cp:lastModifiedBy>Administrator</cp:lastModifiedBy>
  <cp:lastPrinted>2022-10-18T03:24:00Z</cp:lastPrinted>
  <dcterms:modified xsi:type="dcterms:W3CDTF">2025-03-31T01:43:01Z</dcterms:modified>
  <dc:title>中华人民共和国</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2013</vt:lpwstr>
  </property>
  <property fmtid="{D5CDD505-2E9C-101B-9397-08002B2CF9AE}" pid="3" name="KSOProductBuildVer">
    <vt:lpwstr>2052-11.8.2.8506</vt:lpwstr>
  </property>
  <property fmtid="{D5CDD505-2E9C-101B-9397-08002B2CF9AE}" pid="4" name="ICV">
    <vt:lpwstr>5E87EC8340EE43B293B4CC51A7DB02C7</vt:lpwstr>
  </property>
</Properties>
</file>