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58"/>
        <w:jc w:val="right"/>
        <w:rPr>
          <w:rFonts w:hint="default" w:ascii="方正小标宋_GBK" w:eastAsia="方正小标宋_GBK"/>
          <w:sz w:val="30"/>
          <w:szCs w:val="30"/>
          <w:lang w:val="en-US" w:eastAsia="zh-CN"/>
        </w:rPr>
      </w:pPr>
      <w:r>
        <w:rPr>
          <w:rFonts w:hint="eastAsia" w:ascii="方正小标宋_GBK" w:eastAsia="方正小标宋_GBK"/>
          <w:sz w:val="30"/>
          <w:szCs w:val="30"/>
        </w:rPr>
        <w:t>招标编号：</w:t>
      </w:r>
      <w:r>
        <w:rPr>
          <w:rFonts w:hint="eastAsia" w:ascii="方正小标宋_GBK" w:eastAsia="方正小标宋_GBK"/>
          <w:sz w:val="30"/>
          <w:szCs w:val="30"/>
          <w:lang w:eastAsia="zh-CN"/>
        </w:rPr>
        <w:t>052</w:t>
      </w:r>
      <w:r>
        <w:rPr>
          <w:rFonts w:hint="eastAsia" w:ascii="方正小标宋_GBK" w:eastAsia="方正小标宋_GBK"/>
          <w:sz w:val="30"/>
          <w:szCs w:val="30"/>
          <w:lang w:val="en-US" w:eastAsia="zh-CN"/>
        </w:rPr>
        <w:t>6AB</w:t>
      </w:r>
    </w:p>
    <w:p>
      <w:pPr>
        <w:spacing w:line="360" w:lineRule="auto"/>
        <w:ind w:right="-58"/>
        <w:jc w:val="right"/>
        <w:rPr>
          <w:rFonts w:ascii="方正小标宋_GBK" w:eastAsia="方正小标宋_GBK"/>
          <w:sz w:val="30"/>
          <w:szCs w:val="30"/>
        </w:rPr>
      </w:pPr>
    </w:p>
    <w:p>
      <w:pPr>
        <w:spacing w:line="360" w:lineRule="auto"/>
        <w:ind w:right="-58"/>
        <w:jc w:val="right"/>
        <w:rPr>
          <w:rFonts w:ascii="方正小标宋_GBK" w:eastAsia="方正小标宋_GBK"/>
          <w:sz w:val="30"/>
          <w:szCs w:val="30"/>
        </w:rPr>
      </w:pPr>
    </w:p>
    <w:p>
      <w:pPr>
        <w:spacing w:line="360" w:lineRule="auto"/>
        <w:ind w:right="-58"/>
        <w:jc w:val="right"/>
        <w:rPr>
          <w:rFonts w:ascii="方正小标宋_GBK" w:eastAsia="方正小标宋_GBK"/>
          <w:sz w:val="30"/>
          <w:szCs w:val="30"/>
        </w:rPr>
      </w:pPr>
    </w:p>
    <w:p>
      <w:pPr>
        <w:snapToGrid w:val="0"/>
        <w:spacing w:line="700" w:lineRule="exact"/>
        <w:jc w:val="center"/>
        <w:rPr>
          <w:rFonts w:ascii="方正小标宋_GBK" w:eastAsia="方正小标宋_GBK"/>
          <w:b/>
          <w:sz w:val="44"/>
          <w:szCs w:val="44"/>
        </w:rPr>
      </w:pPr>
      <w:r>
        <w:rPr>
          <w:rFonts w:hint="eastAsia" w:ascii="方正小标宋_GBK" w:eastAsia="方正小标宋_GBK"/>
          <w:b/>
          <w:sz w:val="44"/>
          <w:szCs w:val="44"/>
        </w:rPr>
        <w:t>国网山西电力2026年第二次物资协议库存公开招标采购招标公告</w:t>
      </w:r>
    </w:p>
    <w:p>
      <w:pPr>
        <w:snapToGrid w:val="0"/>
        <w:spacing w:line="700" w:lineRule="exact"/>
        <w:jc w:val="center"/>
        <w:rPr>
          <w:rFonts w:ascii="方正小标宋_GBK" w:eastAsia="方正小标宋_GBK"/>
          <w:b/>
          <w:sz w:val="44"/>
          <w:szCs w:val="44"/>
        </w:rPr>
      </w:pPr>
    </w:p>
    <w:p>
      <w:pPr>
        <w:snapToGrid w:val="0"/>
        <w:spacing w:line="360" w:lineRule="auto"/>
        <w:ind w:left="1642"/>
        <w:rPr>
          <w:rFonts w:ascii="方正小标宋_GBK" w:eastAsia="方正小标宋_GBK"/>
          <w:b/>
          <w:sz w:val="32"/>
          <w:szCs w:val="32"/>
        </w:rPr>
      </w:pPr>
    </w:p>
    <w:p>
      <w:pPr>
        <w:snapToGrid w:val="0"/>
        <w:spacing w:line="360" w:lineRule="auto"/>
        <w:ind w:left="1642"/>
        <w:rPr>
          <w:rFonts w:ascii="方正小标宋_GBK" w:eastAsia="方正小标宋_GBK"/>
          <w:b/>
          <w:sz w:val="32"/>
          <w:szCs w:val="32"/>
        </w:rPr>
      </w:pPr>
    </w:p>
    <w:p>
      <w:pPr>
        <w:snapToGrid w:val="0"/>
        <w:spacing w:line="360" w:lineRule="auto"/>
        <w:ind w:left="924"/>
        <w:rPr>
          <w:rFonts w:ascii="方正小标宋_GBK" w:eastAsia="方正小标宋_GBK"/>
          <w:b/>
          <w:sz w:val="18"/>
          <w:szCs w:val="32"/>
        </w:rPr>
      </w:pPr>
    </w:p>
    <w:p>
      <w:pPr>
        <w:adjustRightInd w:val="0"/>
        <w:snapToGrid w:val="0"/>
        <w:spacing w:line="360" w:lineRule="auto"/>
        <w:jc w:val="center"/>
        <w:rPr>
          <w:rFonts w:hint="eastAsia" w:ascii="黑体" w:eastAsia="黑体"/>
          <w:sz w:val="30"/>
          <w:szCs w:val="32"/>
          <w:lang w:eastAsia="zh-CN"/>
        </w:rPr>
      </w:pPr>
      <w:r>
        <w:rPr>
          <w:rFonts w:hint="eastAsia" w:ascii="黑体" w:eastAsia="黑体"/>
          <w:sz w:val="30"/>
          <w:szCs w:val="32"/>
          <w:lang w:eastAsia="zh-CN"/>
        </w:rPr>
        <w:t>国网山西省电力有限公司</w:t>
      </w:r>
    </w:p>
    <w:p>
      <w:pPr>
        <w:jc w:val="center"/>
        <w:rPr>
          <w:rFonts w:hint="default" w:ascii="黑体" w:eastAsia="黑体"/>
          <w:sz w:val="30"/>
          <w:szCs w:val="32"/>
          <w:lang w:val="en-US"/>
        </w:rPr>
        <w:sectPr>
          <w:headerReference r:id="rId5" w:type="first"/>
          <w:footerReference r:id="rId8" w:type="first"/>
          <w:headerReference r:id="rId3" w:type="default"/>
          <w:footerReference r:id="rId6" w:type="default"/>
          <w:headerReference r:id="rId4" w:type="even"/>
          <w:footerReference r:id="rId7" w:type="even"/>
          <w:pgSz w:w="11850" w:h="16783"/>
          <w:pgMar w:top="1134" w:right="1800" w:bottom="1134" w:left="1800" w:header="0" w:footer="841" w:gutter="0"/>
          <w:pgNumType w:start="0"/>
          <w:cols w:space="720" w:num="1"/>
          <w:titlePg/>
          <w:docGrid w:linePitch="286" w:charSpace="0"/>
        </w:sectPr>
      </w:pPr>
      <w:r>
        <w:rPr>
          <w:rFonts w:hint="eastAsia" w:ascii="黑体" w:eastAsia="黑体"/>
          <w:sz w:val="30"/>
          <w:szCs w:val="32"/>
        </w:rPr>
        <w:t>二〇二</w:t>
      </w:r>
      <w:r>
        <w:rPr>
          <w:rFonts w:hint="eastAsia" w:ascii="黑体" w:eastAsia="黑体"/>
          <w:sz w:val="30"/>
          <w:szCs w:val="32"/>
          <w:lang w:val="en-US" w:eastAsia="zh-CN"/>
        </w:rPr>
        <w:t>六</w:t>
      </w:r>
      <w:r>
        <w:rPr>
          <w:rFonts w:hint="eastAsia" w:ascii="黑体" w:eastAsia="黑体"/>
          <w:sz w:val="30"/>
          <w:szCs w:val="32"/>
        </w:rPr>
        <w:t>年</w:t>
      </w:r>
      <w:r>
        <w:rPr>
          <w:rFonts w:hint="eastAsia" w:ascii="黑体" w:eastAsia="黑体"/>
          <w:sz w:val="30"/>
          <w:szCs w:val="32"/>
          <w:lang w:val="en-US" w:eastAsia="zh-CN"/>
        </w:rPr>
        <w:t>四月</w:t>
      </w:r>
    </w:p>
    <w:p>
      <w:pPr>
        <w:adjustRightInd w:val="0"/>
        <w:snapToGrid w:val="0"/>
        <w:jc w:val="both"/>
        <w:rPr>
          <w:rFonts w:ascii="黑体" w:eastAsia="黑体"/>
          <w:b/>
          <w:sz w:val="28"/>
          <w:szCs w:val="28"/>
        </w:rPr>
      </w:pPr>
    </w:p>
    <w:p>
      <w:pPr>
        <w:jc w:val="center"/>
        <w:rPr>
          <w:rFonts w:hint="eastAsia" w:ascii="黑体" w:hAnsi="黑体" w:eastAsia="黑体"/>
          <w:sz w:val="28"/>
          <w:szCs w:val="28"/>
          <w:lang w:eastAsia="zh-CN"/>
        </w:rPr>
      </w:pPr>
      <w:bookmarkStart w:id="0" w:name="_Toc24661"/>
      <w:bookmarkStart w:id="1" w:name="_Toc24199"/>
      <w:bookmarkStart w:id="2" w:name="_Toc7560"/>
      <w:bookmarkStart w:id="3" w:name="_Toc6743"/>
      <w:bookmarkStart w:id="4" w:name="_Toc12766"/>
      <w:bookmarkStart w:id="5" w:name="_Toc21954"/>
      <w:bookmarkStart w:id="6" w:name="_Toc25789"/>
      <w:bookmarkStart w:id="7" w:name="_Toc12970"/>
      <w:bookmarkStart w:id="8" w:name="_Toc6951"/>
      <w:bookmarkStart w:id="9" w:name="_Toc3331"/>
      <w:bookmarkStart w:id="10" w:name="_Toc7053"/>
      <w:bookmarkStart w:id="11" w:name="_Toc7563"/>
      <w:bookmarkStart w:id="12" w:name="_Toc30735"/>
      <w:bookmarkStart w:id="13" w:name="_Toc18179"/>
      <w:bookmarkStart w:id="14" w:name="_Toc1901"/>
      <w:bookmarkStart w:id="15" w:name="_Toc8584"/>
      <w:bookmarkStart w:id="16" w:name="_Toc1540"/>
      <w:bookmarkStart w:id="17" w:name="_Toc7870"/>
      <w:bookmarkStart w:id="18" w:name="_Toc18789"/>
      <w:bookmarkStart w:id="19" w:name="_Toc3173"/>
      <w:r>
        <w:rPr>
          <w:rFonts w:hint="eastAsia" w:ascii="黑体" w:hAnsi="黑体" w:eastAsia="黑体"/>
          <w:sz w:val="28"/>
          <w:szCs w:val="28"/>
          <w:lang w:eastAsia="zh-CN"/>
        </w:rPr>
        <w:t>国网山西电力2026年第二次物资协议库存公开招标采购</w:t>
      </w:r>
    </w:p>
    <w:p>
      <w:pPr>
        <w:jc w:val="center"/>
        <w:rPr>
          <w:rFonts w:ascii="黑体" w:hAnsi="黑体" w:eastAsia="黑体"/>
          <w:sz w:val="28"/>
          <w:szCs w:val="28"/>
        </w:rPr>
      </w:pPr>
      <w:r>
        <w:rPr>
          <w:rFonts w:hint="eastAsia" w:ascii="黑体" w:hAnsi="黑体" w:eastAsia="黑体"/>
          <w:sz w:val="28"/>
          <w:szCs w:val="28"/>
        </w:rPr>
        <w:t>招标公告</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pPr>
        <w:jc w:val="center"/>
        <w:rPr>
          <w:rFonts w:hint="default" w:ascii="黑体" w:hAnsi="黑体" w:eastAsia="黑体"/>
          <w:sz w:val="28"/>
          <w:szCs w:val="28"/>
          <w:lang w:val="en-US" w:eastAsia="zh-CN"/>
        </w:rPr>
      </w:pPr>
      <w:bookmarkStart w:id="20" w:name="_Toc3705"/>
      <w:bookmarkStart w:id="21" w:name="_Toc1065"/>
      <w:bookmarkStart w:id="22" w:name="_Toc18676"/>
      <w:bookmarkStart w:id="23" w:name="_Toc16837"/>
      <w:bookmarkStart w:id="24" w:name="_Toc29230"/>
      <w:bookmarkStart w:id="25" w:name="_Toc17259"/>
      <w:bookmarkStart w:id="26" w:name="_Toc21572"/>
      <w:bookmarkStart w:id="27" w:name="_Toc714"/>
      <w:bookmarkStart w:id="28" w:name="_Toc12718"/>
      <w:r>
        <w:rPr>
          <w:rFonts w:hint="eastAsia" w:ascii="黑体" w:hAnsi="黑体" w:eastAsia="黑体"/>
          <w:sz w:val="28"/>
          <w:szCs w:val="28"/>
        </w:rPr>
        <w:t>招标编号：</w:t>
      </w:r>
      <w:bookmarkEnd w:id="20"/>
      <w:bookmarkEnd w:id="21"/>
      <w:bookmarkEnd w:id="22"/>
      <w:bookmarkEnd w:id="23"/>
      <w:bookmarkEnd w:id="24"/>
      <w:bookmarkEnd w:id="25"/>
      <w:bookmarkEnd w:id="26"/>
      <w:bookmarkEnd w:id="27"/>
      <w:bookmarkEnd w:id="28"/>
      <w:r>
        <w:rPr>
          <w:rFonts w:hint="eastAsia" w:ascii="Arial" w:hAnsi="Arial" w:eastAsia="黑体" w:cs="Arial"/>
          <w:sz w:val="28"/>
          <w:szCs w:val="28"/>
          <w:lang w:eastAsia="zh-CN"/>
        </w:rPr>
        <w:t>052</w:t>
      </w:r>
      <w:r>
        <w:rPr>
          <w:rFonts w:hint="eastAsia" w:ascii="Arial" w:hAnsi="Arial" w:eastAsia="黑体" w:cs="Arial"/>
          <w:sz w:val="28"/>
          <w:szCs w:val="28"/>
          <w:lang w:val="en-US" w:eastAsia="zh-CN"/>
        </w:rPr>
        <w:t>6AB</w:t>
      </w:r>
    </w:p>
    <w:p>
      <w:pPr>
        <w:adjustRightInd w:val="0"/>
        <w:snapToGrid w:val="0"/>
        <w:spacing w:beforeLines="100" w:afterLines="50"/>
        <w:outlineLvl w:val="1"/>
        <w:rPr>
          <w:rFonts w:ascii="黑体" w:hAnsi="Calibri" w:eastAsia="黑体"/>
          <w:b/>
          <w:sz w:val="24"/>
        </w:rPr>
      </w:pPr>
      <w:bookmarkStart w:id="29" w:name="_bookmark2"/>
      <w:bookmarkEnd w:id="29"/>
      <w:bookmarkStart w:id="30" w:name="_Toc27832"/>
      <w:bookmarkStart w:id="31" w:name="_Toc20180"/>
      <w:bookmarkStart w:id="32" w:name="_Toc113"/>
      <w:bookmarkStart w:id="33" w:name="_Toc16718"/>
      <w:bookmarkStart w:id="34" w:name="_Toc62221755"/>
      <w:bookmarkStart w:id="35" w:name="_Toc62549186"/>
      <w:bookmarkStart w:id="36" w:name="_Toc13310"/>
      <w:bookmarkStart w:id="37" w:name="_Toc12390"/>
      <w:bookmarkStart w:id="38" w:name="_Toc62222571"/>
      <w:bookmarkStart w:id="39" w:name="_Toc62549130"/>
      <w:bookmarkStart w:id="40" w:name="_Toc23241"/>
      <w:bookmarkStart w:id="41" w:name="_Toc62221464"/>
      <w:bookmarkStart w:id="42" w:name="_Toc28259"/>
      <w:bookmarkStart w:id="43" w:name="_Toc62222023"/>
      <w:bookmarkStart w:id="44" w:name="_Toc6779"/>
      <w:bookmarkStart w:id="45" w:name="_Toc12482"/>
      <w:r>
        <w:rPr>
          <w:rFonts w:ascii="黑体" w:hAnsi="Calibri" w:eastAsia="黑体"/>
          <w:b/>
          <w:sz w:val="24"/>
        </w:rPr>
        <w:t>1.</w:t>
      </w:r>
      <w:r>
        <w:rPr>
          <w:rFonts w:hint="eastAsia" w:ascii="黑体" w:hAnsi="Calibri" w:eastAsia="黑体"/>
          <w:b/>
          <w:sz w:val="24"/>
        </w:rPr>
        <w:t>招标条件</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项目建设单位为</w:t>
      </w:r>
      <w:r>
        <w:rPr>
          <w:rFonts w:hint="eastAsia" w:ascii="宋体" w:hAnsi="宋体" w:eastAsia="宋体" w:cs="宋体"/>
          <w:lang w:eastAsia="zh-CN"/>
        </w:rPr>
        <w:t>国网山西省电力有限公司</w:t>
      </w:r>
      <w:r>
        <w:rPr>
          <w:rFonts w:hint="eastAsia" w:ascii="宋体" w:hAnsi="宋体" w:eastAsia="宋体" w:cs="宋体"/>
        </w:rPr>
        <w:t>（以下简称“项目单位”），项目资金来自企业自有资金，出资比例为</w:t>
      </w:r>
      <w:r>
        <w:rPr>
          <w:rFonts w:ascii="宋体" w:hAnsi="宋体" w:eastAsia="宋体" w:cs="宋体"/>
        </w:rPr>
        <w:t>100%</w:t>
      </w:r>
      <w:r>
        <w:rPr>
          <w:rFonts w:hint="eastAsia" w:ascii="宋体" w:hAnsi="宋体" w:eastAsia="宋体" w:cs="宋体"/>
        </w:rPr>
        <w:t>，资金来源已落实，招标人为</w:t>
      </w:r>
      <w:r>
        <w:rPr>
          <w:rFonts w:hint="eastAsia" w:ascii="宋体" w:hAnsi="宋体" w:eastAsia="宋体" w:cs="宋体"/>
          <w:lang w:eastAsia="zh-CN"/>
        </w:rPr>
        <w:t>国网山西省电力有限公司</w:t>
      </w:r>
      <w:r>
        <w:rPr>
          <w:rFonts w:hint="eastAsia" w:ascii="宋体" w:hAnsi="宋体" w:eastAsia="宋体" w:cs="宋体"/>
        </w:rPr>
        <w:t>，并委托国网山西招标有限公司为招标代理机构。项目已具备招标条件，现对该项目进行公开招标。</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本项目积极响应《中共中央国务院关于开展质量提升行动的指导意见》，倡导潜在投标人用先进标准引领产品质量提升，有效治理质量突出问题，推动形成优质优价的采购机制。</w:t>
      </w:r>
      <w:r>
        <w:rPr>
          <w:rFonts w:ascii="宋体" w:hAnsi="宋体" w:eastAsia="宋体" w:cs="宋体"/>
        </w:rPr>
        <w:t xml:space="preserve"> </w:t>
      </w:r>
      <w:r>
        <w:rPr>
          <w:rFonts w:hint="eastAsia" w:ascii="宋体" w:hAnsi="宋体" w:eastAsia="宋体" w:cs="宋体"/>
        </w:rPr>
        <w:t>为保障电网和设备本质安全，维护良好电工装备质量生态环境，确保投标人提供优质产品。招标人有权对违反“投标函”承诺的投标人加大不良行为处理力度。</w:t>
      </w:r>
    </w:p>
    <w:p>
      <w:pPr>
        <w:adjustRightInd w:val="0"/>
        <w:snapToGrid w:val="0"/>
        <w:spacing w:beforeLines="100" w:afterLines="50"/>
        <w:outlineLvl w:val="1"/>
        <w:rPr>
          <w:rFonts w:ascii="宋体" w:hAnsi="宋体" w:eastAsia="宋体" w:cs="宋体"/>
        </w:rPr>
      </w:pPr>
      <w:bookmarkStart w:id="46" w:name="_bookmark3"/>
      <w:bookmarkEnd w:id="46"/>
      <w:bookmarkStart w:id="47" w:name="_Toc14807"/>
      <w:bookmarkStart w:id="48" w:name="_Toc62549187"/>
      <w:bookmarkStart w:id="49" w:name="_Toc18094"/>
      <w:bookmarkStart w:id="50" w:name="_Toc9526"/>
      <w:bookmarkStart w:id="51" w:name="_Toc22052"/>
      <w:bookmarkStart w:id="52" w:name="_Toc62221465"/>
      <w:bookmarkStart w:id="53" w:name="_Toc62221756"/>
      <w:bookmarkStart w:id="54" w:name="_Toc13249"/>
      <w:bookmarkStart w:id="55" w:name="_Toc8851"/>
      <w:bookmarkStart w:id="56" w:name="_Toc10669"/>
      <w:bookmarkStart w:id="57" w:name="_Toc62549131"/>
      <w:bookmarkStart w:id="58" w:name="_Toc16612"/>
      <w:bookmarkStart w:id="59" w:name="_Toc62222024"/>
      <w:bookmarkStart w:id="60" w:name="_Toc62222572"/>
      <w:bookmarkStart w:id="61" w:name="_Toc21846"/>
      <w:bookmarkStart w:id="62" w:name="_Toc16297"/>
      <w:r>
        <w:rPr>
          <w:rFonts w:ascii="黑体" w:hAnsi="Calibri" w:eastAsia="黑体"/>
          <w:b/>
          <w:sz w:val="24"/>
        </w:rPr>
        <w:t>2.</w:t>
      </w:r>
      <w:r>
        <w:rPr>
          <w:rFonts w:hint="eastAsia" w:ascii="黑体" w:hAnsi="Calibri" w:eastAsia="黑体"/>
          <w:b/>
          <w:sz w:val="24"/>
        </w:rPr>
        <w:t>项目概况与招标范围</w:t>
      </w:r>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Start w:id="63" w:name="_bookmark4"/>
      <w:bookmarkEnd w:id="63"/>
      <w:bookmarkStart w:id="64" w:name="_Toc19813"/>
      <w:bookmarkStart w:id="65" w:name="_Toc19873"/>
      <w:bookmarkStart w:id="66" w:name="_Toc32699"/>
      <w:bookmarkStart w:id="67" w:name="_Toc1793"/>
      <w:bookmarkStart w:id="68" w:name="_Toc62222025"/>
      <w:bookmarkStart w:id="69" w:name="_Toc62222573"/>
      <w:bookmarkStart w:id="70" w:name="_Toc30155"/>
      <w:bookmarkStart w:id="71" w:name="_Toc23581"/>
      <w:bookmarkStart w:id="72" w:name="_Toc62549188"/>
      <w:bookmarkStart w:id="73" w:name="_Toc62549132"/>
      <w:bookmarkStart w:id="74" w:name="_Toc1794"/>
      <w:bookmarkStart w:id="75" w:name="_Toc16135"/>
      <w:bookmarkStart w:id="76" w:name="_Toc15959"/>
      <w:bookmarkStart w:id="77" w:name="_Toc3443"/>
      <w:bookmarkStart w:id="78" w:name="_Toc62221466"/>
      <w:bookmarkStart w:id="79" w:name="_Toc62221757"/>
    </w:p>
    <w:p>
      <w:pPr>
        <w:tabs>
          <w:tab w:val="left" w:pos="2688"/>
        </w:tabs>
        <w:adjustRightInd w:val="0"/>
        <w:snapToGrid w:val="0"/>
        <w:spacing w:line="400" w:lineRule="exact"/>
        <w:ind w:firstLine="448" w:firstLineChars="200"/>
        <w:rPr>
          <w:rFonts w:hint="eastAsia" w:ascii="宋体" w:hAnsi="宋体" w:eastAsia="宋体" w:cs="宋体"/>
          <w:highlight w:val="none"/>
        </w:rPr>
      </w:pPr>
      <w:r>
        <w:rPr>
          <w:rFonts w:hint="eastAsia" w:ascii="宋体" w:hAnsi="宋体" w:eastAsia="宋体" w:cs="宋体"/>
          <w:spacing w:val="7"/>
          <w:highlight w:val="none"/>
        </w:rPr>
        <w:t>●</w:t>
      </w:r>
      <w:r>
        <w:rPr>
          <w:rFonts w:hint="eastAsia" w:ascii="宋体" w:hAnsi="宋体" w:eastAsia="宋体" w:cs="宋体"/>
          <w:highlight w:val="none"/>
        </w:rPr>
        <w:t>详见货物清单。</w:t>
      </w:r>
    </w:p>
    <w:p>
      <w:pPr>
        <w:pStyle w:val="2"/>
        <w:ind w:left="0" w:leftChars="0" w:firstLine="448" w:firstLineChars="200"/>
        <w:rPr>
          <w:rFonts w:hint="default"/>
          <w:highlight w:val="none"/>
          <w:lang w:val="en-US"/>
        </w:rPr>
      </w:pPr>
      <w:r>
        <w:rPr>
          <w:rFonts w:hint="eastAsia" w:asciiTheme="minorEastAsia" w:hAnsiTheme="minorEastAsia" w:eastAsiaTheme="minorEastAsia" w:cstheme="minorEastAsia"/>
          <w:color w:val="auto"/>
          <w:spacing w:val="7"/>
          <w:sz w:val="21"/>
          <w:szCs w:val="22"/>
          <w:highlight w:val="none"/>
        </w:rPr>
        <w:t>●</w:t>
      </w:r>
      <w:r>
        <w:rPr>
          <w:rFonts w:hint="eastAsia" w:asciiTheme="minorEastAsia" w:hAnsiTheme="minorEastAsia" w:eastAsiaTheme="minorEastAsia" w:cstheme="minorEastAsia"/>
          <w:color w:val="auto"/>
          <w:sz w:val="21"/>
          <w:szCs w:val="22"/>
          <w:highlight w:val="none"/>
          <w:lang w:val="en-US" w:eastAsia="zh-CN"/>
        </w:rPr>
        <w:t>本次采购10kV交流避雷器包1、导线耐张串包1、钢芯铝绞线包3、高压熔断器-200A包1、高压熔断器-标准化包1、交流避雷器-标准化包3、拉紧绝缘子-标准化包1、铁构件包1-包3、针式瓷绝缘子包1、锥形水泥杆-非预应力包1、锥形水泥杆-非预应力包2物资须寄存，其余为非寄存物资。</w:t>
      </w:r>
    </w:p>
    <w:p>
      <w:pPr>
        <w:adjustRightInd w:val="0"/>
        <w:snapToGrid w:val="0"/>
        <w:spacing w:beforeLines="100" w:afterLines="50"/>
        <w:outlineLvl w:val="1"/>
        <w:rPr>
          <w:rFonts w:ascii="黑体" w:hAnsi="Calibri" w:eastAsia="黑体"/>
          <w:b/>
          <w:sz w:val="24"/>
        </w:rPr>
      </w:pPr>
      <w:r>
        <w:rPr>
          <w:rFonts w:ascii="黑体" w:hAnsi="Calibri" w:eastAsia="黑体"/>
          <w:b/>
          <w:sz w:val="24"/>
        </w:rPr>
        <w:t>3.</w:t>
      </w:r>
      <w:r>
        <w:rPr>
          <w:rFonts w:hint="eastAsia" w:ascii="黑体" w:hAnsi="Calibri" w:eastAsia="黑体"/>
          <w:b/>
          <w:sz w:val="24"/>
        </w:rPr>
        <w:t>投标人资格要求</w:t>
      </w:r>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3.1 </w:t>
      </w:r>
      <w:r>
        <w:rPr>
          <w:rFonts w:hint="eastAsia" w:ascii="宋体" w:hAnsi="宋体" w:eastAsia="宋体" w:cs="宋体"/>
        </w:rPr>
        <w:t>本次招标要求投标人须为中华人民共和国境内依法注册的法人或其他组织，须具有与本招标项目相应的供货能力。</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3.2 </w:t>
      </w:r>
      <w:r>
        <w:rPr>
          <w:rFonts w:hint="eastAsia" w:ascii="宋体" w:hAnsi="宋体" w:eastAsia="宋体" w:cs="宋体"/>
        </w:rPr>
        <w:t>本次招标不接受联合体投标。</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3.3</w:t>
      </w:r>
      <w:r>
        <w:rPr>
          <w:rFonts w:hint="eastAsia" w:ascii="宋体" w:hAnsi="宋体" w:eastAsia="宋体" w:cs="宋体"/>
        </w:rPr>
        <w:t>本次招标是否接受代理商投标见</w:t>
      </w:r>
      <w:r>
        <w:rPr>
          <w:rFonts w:ascii="宋体" w:hAnsi="宋体" w:eastAsia="宋体" w:cs="宋体"/>
        </w:rPr>
        <w:t>3.6</w:t>
      </w:r>
      <w:r>
        <w:rPr>
          <w:rFonts w:hint="eastAsia" w:ascii="宋体" w:hAnsi="宋体" w:eastAsia="宋体" w:cs="宋体"/>
        </w:rPr>
        <w:t>专用资格要求。如接受代理商投标的，代理产品不得属于《机电产品国际招标投标实施办法（试行）》（商务部令</w:t>
      </w:r>
      <w:r>
        <w:rPr>
          <w:rFonts w:ascii="宋体" w:hAnsi="宋体" w:eastAsia="宋体" w:cs="宋体"/>
        </w:rPr>
        <w:t>2014</w:t>
      </w:r>
      <w:r>
        <w:rPr>
          <w:rFonts w:hint="eastAsia" w:ascii="宋体" w:hAnsi="宋体" w:eastAsia="宋体" w:cs="宋体"/>
        </w:rPr>
        <w:t>年第</w:t>
      </w:r>
      <w:r>
        <w:rPr>
          <w:rFonts w:ascii="宋体" w:hAnsi="宋体" w:eastAsia="宋体" w:cs="宋体"/>
        </w:rPr>
        <w:t>1</w:t>
      </w:r>
      <w:r>
        <w:rPr>
          <w:rFonts w:hint="eastAsia" w:ascii="宋体" w:hAnsi="宋体" w:eastAsia="宋体" w:cs="宋体"/>
        </w:rPr>
        <w:t>号）规定必须进行国际招标的产品。</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3.4 </w:t>
      </w:r>
      <w:r>
        <w:rPr>
          <w:rFonts w:hint="eastAsia" w:ascii="宋体" w:hAnsi="宋体" w:eastAsia="宋体" w:cs="宋体"/>
        </w:rPr>
        <w:t>接受代理商或者外协外购产品投标时，其投标产品制造商须在境内具备相应货物的制造能力，并在人员、设备、资金等方面具有保障相应协作承制货物如期交货的能力。除特别注明外，这些资格、资质、业绩均系投标人本人或者其代理或外协产品制造商本人所拥有的权利权益。</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3.5 </w:t>
      </w:r>
      <w:r>
        <w:rPr>
          <w:rFonts w:hint="eastAsia" w:ascii="宋体" w:hAnsi="宋体" w:eastAsia="宋体" w:cs="宋体"/>
        </w:rPr>
        <w:t>投标人及其投标产品须满足如下通用资格要求：</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w:t>
      </w:r>
      <w:r>
        <w:rPr>
          <w:rFonts w:hint="eastAsia" w:ascii="宋体" w:hAnsi="宋体" w:eastAsia="宋体" w:cs="宋体"/>
        </w:rPr>
        <w:t>）投标产品制造商必须具有生产投标产品所需的生产场地、生产设备、生产人员、产品及元器件检测能力。本招标活动不接受贴牌代工以及任何分包（招标文件中规定的允许外购外协的除外）、转包行为的投标。</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这些制造、检测能力应当分别相当于或者优于招标人招投标交易平台信息系统（</w:t>
      </w:r>
      <w:r>
        <w:rPr>
          <w:rFonts w:ascii="宋体" w:hAnsi="宋体" w:eastAsia="宋体" w:cs="宋体"/>
        </w:rPr>
        <w:t>https://ecp.sgcc.com.cn</w:t>
      </w:r>
      <w:r>
        <w:rPr>
          <w:rFonts w:hint="eastAsia" w:ascii="宋体" w:hAnsi="宋体" w:eastAsia="宋体" w:cs="宋体"/>
        </w:rPr>
        <w:t>）中发布的“供应商资质能力信息核实规范”提出的相应条款要求（查看路径：招投标交易平台信息系统首页→供应商管理→资质能力核实→资质能力核实规范标准）。</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2</w:t>
      </w:r>
      <w:r>
        <w:rPr>
          <w:rFonts w:hint="eastAsia" w:ascii="宋体" w:hAnsi="宋体" w:eastAsia="宋体" w:cs="宋体"/>
        </w:rPr>
        <w:t>）在与规范相同或较规范更严格的条件下，投标产品的投运数量或供货数量及其成功运行时间满足招标文件的要求。如同一包内存在不同类别的产品，除外购外协的产品外，则投标人须分别满足包内各类别产品的资格要求；对于外购外协的产品，产品制造商应满足本公告资质相关业绩要求。</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3</w:t>
      </w:r>
      <w:r>
        <w:rPr>
          <w:rFonts w:hint="eastAsia" w:ascii="宋体" w:hAnsi="宋体" w:eastAsia="宋体" w:cs="宋体"/>
        </w:rPr>
        <w:t>）取得国家法律、法规、规章规定的有效许可证。取得招标文件要求的国家强制认证证书。</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4</w:t>
      </w:r>
      <w:r>
        <w:rPr>
          <w:rFonts w:hint="eastAsia" w:ascii="宋体" w:hAnsi="宋体" w:eastAsia="宋体" w:cs="宋体"/>
        </w:rPr>
        <w:t>）法定代表人（单位负责人）为同一人或者存在控股、管理关系的不同单位，不得参加同一标包投标或者未划分标包的同一招标项目投标。</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5</w:t>
      </w:r>
      <w:r>
        <w:rPr>
          <w:rFonts w:hint="eastAsia" w:ascii="宋体" w:hAnsi="宋体" w:eastAsia="宋体" w:cs="宋体"/>
        </w:rPr>
        <w:t>）应有良好的财务状况和商业信用。</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6</w:t>
      </w:r>
      <w:r>
        <w:rPr>
          <w:rFonts w:hint="eastAsia" w:ascii="宋体" w:hAnsi="宋体" w:eastAsia="宋体" w:cs="宋体"/>
        </w:rPr>
        <w:t>）根据《国家电网有限公司供应商关系管理办法》的规定，若投标人为制造商，存在导致其被暂停中标资格或取消中标资格的不良行为且在处理有效期内的，投标人在投标截止之日至中标通知书到达之日前，任一日在《国家电网有限公司关于供应商不良行为处理情况的通报》处理期内的均适用不良行为处理结果，或投标人存在触发《国家电网有限公司供应商关系管理办法》第六十三条安全及质量重大问题“熔断机制”情形的，其投标将被否决。若投标人为代理商，投标人或其代理产品的制造商存在导致其被暂停中标资格或取消中标资格的不良行为且在处理有效期内的，投标人或其代理产品的制造商在投标截止之日至中标通知书到达之日前，任一日在《国家电网有限公司关于供应商不良行为处理情况的通报》处理期内的均适用不良行为处理结果，或投标人存在触发《国家电网有限公司供应商关系管理办法》第六十三条安全及质量重大问题“熔断机制”情形的，其投标将被否决。即使投标人在投标截止日尚不存在上述情况，但在中标通知书到达之日前，出现上述情况的，招标人亦有权取消其中标资格。</w:t>
      </w:r>
    </w:p>
    <w:p>
      <w:pPr>
        <w:tabs>
          <w:tab w:val="left" w:pos="1134"/>
        </w:tabs>
        <w:adjustRightInd w:val="0"/>
        <w:snapToGrid w:val="0"/>
        <w:spacing w:line="400" w:lineRule="exact"/>
        <w:ind w:firstLine="420" w:firstLineChars="200"/>
        <w:rPr>
          <w:rFonts w:ascii="宋体" w:hAnsi="宋体" w:eastAsia="宋体" w:cs="宋体"/>
          <w:highlight w:val="none"/>
        </w:rPr>
      </w:pPr>
      <w:r>
        <w:rPr>
          <w:rFonts w:hint="eastAsia" w:ascii="宋体" w:hAnsi="宋体" w:eastAsia="宋体" w:cs="宋体"/>
          <w:highlight w:val="none"/>
        </w:rPr>
        <w:t>（</w:t>
      </w:r>
      <w:r>
        <w:rPr>
          <w:rFonts w:ascii="宋体" w:hAnsi="宋体" w:eastAsia="宋体" w:cs="宋体"/>
          <w:highlight w:val="none"/>
        </w:rPr>
        <w:t>7</w:t>
      </w:r>
      <w:r>
        <w:rPr>
          <w:rFonts w:hint="eastAsia" w:ascii="宋体" w:hAnsi="宋体" w:eastAsia="宋体" w:cs="宋体"/>
          <w:highlight w:val="none"/>
        </w:rPr>
        <w:t>）根据最高人民法院、国家发展改革委、国家铁路局等九部门联合印发的《关于在招标投标活动中对失信被执行人实施联合惩戒的通知》（法〔</w:t>
      </w:r>
      <w:r>
        <w:rPr>
          <w:rFonts w:ascii="宋体" w:hAnsi="宋体" w:eastAsia="宋体" w:cs="宋体"/>
          <w:highlight w:val="none"/>
        </w:rPr>
        <w:t>2016</w:t>
      </w:r>
      <w:r>
        <w:rPr>
          <w:rFonts w:hint="eastAsia" w:ascii="宋体" w:hAnsi="宋体" w:eastAsia="宋体" w:cs="宋体"/>
          <w:highlight w:val="none"/>
        </w:rPr>
        <w:t>〕</w:t>
      </w:r>
      <w:r>
        <w:rPr>
          <w:rFonts w:ascii="宋体" w:hAnsi="宋体" w:eastAsia="宋体" w:cs="宋体"/>
          <w:highlight w:val="none"/>
        </w:rPr>
        <w:t>285</w:t>
      </w:r>
      <w:r>
        <w:rPr>
          <w:rFonts w:hint="eastAsia" w:ascii="宋体" w:hAnsi="宋体" w:eastAsia="宋体" w:cs="宋体"/>
          <w:highlight w:val="none"/>
        </w:rPr>
        <w:t>号），投标人不得被人民法院列为失信被执行人。投标人不得存在违法失信行为，不得被“信用中国”网站（</w:t>
      </w:r>
      <w:r>
        <w:rPr>
          <w:rFonts w:ascii="宋体" w:hAnsi="宋体" w:eastAsia="宋体" w:cs="宋体"/>
          <w:highlight w:val="none"/>
        </w:rPr>
        <w:t>www.creditchina.gov.cn</w:t>
      </w:r>
      <w:r>
        <w:rPr>
          <w:rFonts w:hint="eastAsia" w:ascii="宋体" w:hAnsi="宋体" w:eastAsia="宋体" w:cs="宋体"/>
          <w:highlight w:val="none"/>
        </w:rPr>
        <w:t>）列入严重失信主体名单。即使投标人在开标当日未出现被列入失信被执行人或严重失信主体名单的情形，但在中标通知书到达之日前，存在上述情形的，招标人有权取消其中标资格。</w:t>
      </w:r>
    </w:p>
    <w:p>
      <w:pPr>
        <w:tabs>
          <w:tab w:val="left" w:pos="1134"/>
        </w:tabs>
        <w:adjustRightInd w:val="0"/>
        <w:snapToGrid w:val="0"/>
        <w:spacing w:line="400" w:lineRule="exact"/>
        <w:ind w:firstLine="420" w:firstLineChars="200"/>
        <w:rPr>
          <w:rFonts w:ascii="宋体" w:hAnsi="宋体" w:eastAsia="宋体" w:cs="宋体"/>
          <w:highlight w:val="none"/>
        </w:rPr>
      </w:pPr>
      <w:r>
        <w:rPr>
          <w:rFonts w:hint="eastAsia" w:ascii="宋体" w:hAnsi="宋体" w:eastAsia="宋体" w:cs="宋体"/>
          <w:highlight w:val="none"/>
        </w:rPr>
        <w:t>（</w:t>
      </w:r>
      <w:r>
        <w:rPr>
          <w:rFonts w:ascii="宋体" w:hAnsi="宋体" w:eastAsia="宋体" w:cs="宋体"/>
          <w:highlight w:val="none"/>
        </w:rPr>
        <w:t>8</w:t>
      </w:r>
      <w:r>
        <w:rPr>
          <w:rFonts w:hint="eastAsia" w:ascii="宋体" w:hAnsi="宋体" w:eastAsia="宋体" w:cs="宋体"/>
          <w:highlight w:val="none"/>
        </w:rPr>
        <w:t>）投标人不得被市场监督管理机关在国家企业信用信息公示系统中列入严重违法失信企业名单或列入经营异常名录信息。投标人需同时在商务文件中提供在国家企业信用信息公示系统（</w:t>
      </w:r>
      <w:r>
        <w:rPr>
          <w:rFonts w:ascii="宋体" w:hAnsi="宋体" w:eastAsia="宋体" w:cs="宋体"/>
          <w:highlight w:val="none"/>
        </w:rPr>
        <w:t>www.gsxt.gov.cn</w:t>
      </w:r>
      <w:r>
        <w:rPr>
          <w:rFonts w:hint="eastAsia" w:ascii="宋体" w:hAnsi="宋体" w:eastAsia="宋体" w:cs="宋体"/>
          <w:highlight w:val="none"/>
        </w:rPr>
        <w:t>）查询的，包含“营业执照信息”、“列入严重违法失信企业名单（黑名单）”、“列入经营异常名录信息”、“行政处罚信息”、“清算信息”的查询结果（查询日期应在投标截止日前</w:t>
      </w:r>
      <w:r>
        <w:rPr>
          <w:rFonts w:ascii="宋体" w:hAnsi="宋体" w:eastAsia="宋体" w:cs="宋体"/>
          <w:highlight w:val="none"/>
        </w:rPr>
        <w:t>20</w:t>
      </w:r>
      <w:r>
        <w:rPr>
          <w:rFonts w:hint="eastAsia" w:ascii="宋体" w:hAnsi="宋体" w:eastAsia="宋体" w:cs="宋体"/>
          <w:highlight w:val="none"/>
        </w:rPr>
        <w:t>天内，查询结果应为网站自动生成的</w:t>
      </w:r>
      <w:r>
        <w:rPr>
          <w:rFonts w:ascii="宋体" w:hAnsi="宋体" w:eastAsia="宋体" w:cs="宋体"/>
          <w:highlight w:val="none"/>
        </w:rPr>
        <w:t>PDF</w:t>
      </w:r>
      <w:r>
        <w:rPr>
          <w:rFonts w:hint="eastAsia" w:ascii="宋体" w:hAnsi="宋体" w:eastAsia="宋体" w:cs="宋体"/>
          <w:highlight w:val="none"/>
        </w:rPr>
        <w:t>文件的电子版）。</w:t>
      </w:r>
      <w:r>
        <w:rPr>
          <w:rFonts w:hint="eastAsia" w:ascii="宋体" w:hAnsi="宋体" w:eastAsia="宋体" w:cs="宋体"/>
          <w:highlight w:val="none"/>
          <w:lang w:val="en-US" w:eastAsia="zh-CN"/>
        </w:rPr>
        <w:t>如投标人未提供企业信用信息公示报告，或提供的报告不符合招标文件规定的格式与内容，或报告内容被评标委员会认定有异议的，投标人的“列入经营异常名录信息”和“列入严重违法失信企业名单（黑名单）信息”以评标委员会在国家企业信用信息公示系统查询的结果为准。</w:t>
      </w:r>
      <w:r>
        <w:rPr>
          <w:rFonts w:hint="eastAsia" w:ascii="宋体" w:hAnsi="宋体" w:eastAsia="宋体" w:cs="宋体"/>
          <w:highlight w:val="yellow"/>
          <w:lang w:val="en-US" w:eastAsia="zh-CN"/>
        </w:rPr>
        <w:t>投标人未提供或提供的企业信用信息公示报告不符合招标文件规定的格式与内容的，评标委员会将会对投标人进行不利评价。</w:t>
      </w:r>
      <w:r>
        <w:rPr>
          <w:rFonts w:hint="eastAsia" w:ascii="宋体" w:hAnsi="宋体" w:eastAsia="宋体" w:cs="宋体"/>
          <w:highlight w:val="none"/>
        </w:rPr>
        <w:t>投标人提供虚假企业信用信息公示报告的，按照虚假投标进行否决，并根据《国家电网有限公司供应商关系管理办法》进行相应处理。即使投标人在开标当日未出现被市场监督管理机关列入经营异常名录或严重违法失信企业名单的情形，但在中标通知书到达之日前，存在上述情形的，招标人有权取消其中标资格。</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9</w:t>
      </w:r>
      <w:r>
        <w:rPr>
          <w:rFonts w:hint="eastAsia" w:ascii="宋体" w:hAnsi="宋体" w:eastAsia="宋体" w:cs="宋体"/>
        </w:rPr>
        <w:t>）外购外协原材料、配套元件和外部委托加工及进口散装的部件应符合本招标技术规范要求。投标人应具备对外购外协原材料、配套元件和外部委托加工及进口散装的部件进行进厂验收所需的检验制度、检测手段和能力，和由材料、元件和部件供应商提供的检测合格证明。原材料组部件管理应当具有可追溯性。</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10</w:t>
      </w:r>
      <w:r>
        <w:rPr>
          <w:rFonts w:hint="eastAsia" w:ascii="宋体" w:hAnsi="宋体" w:eastAsia="宋体" w:cs="宋体"/>
        </w:rPr>
        <w:t>）投标人不得选配国家电网有限公司《关于供应商不良行为处理情况的通报》中正接受暂停中标资格、取消中标资格的外购外协供应商或代理（集成服务）制造商的产品；不得选配涉嫌存在《招标投标法》第</w:t>
      </w:r>
      <w:r>
        <w:rPr>
          <w:rFonts w:ascii="宋体" w:hAnsi="宋体" w:eastAsia="宋体" w:cs="宋体"/>
        </w:rPr>
        <w:t>53</w:t>
      </w:r>
      <w:r>
        <w:rPr>
          <w:rFonts w:hint="eastAsia" w:ascii="宋体" w:hAnsi="宋体" w:eastAsia="宋体" w:cs="宋体"/>
        </w:rPr>
        <w:t>条、《招标投标法实施条例》第</w:t>
      </w:r>
      <w:r>
        <w:rPr>
          <w:rFonts w:ascii="宋体" w:hAnsi="宋体" w:eastAsia="宋体" w:cs="宋体"/>
        </w:rPr>
        <w:t>51</w:t>
      </w:r>
      <w:r>
        <w:rPr>
          <w:rFonts w:hint="eastAsia" w:ascii="宋体" w:hAnsi="宋体" w:eastAsia="宋体" w:cs="宋体"/>
        </w:rPr>
        <w:t>条所列违法行为，已被司法机关立案的外购外协供应商或代理（集成服务）制造商的产品。</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11</w:t>
      </w:r>
      <w:r>
        <w:rPr>
          <w:rFonts w:hint="eastAsia" w:ascii="宋体" w:hAnsi="宋体" w:eastAsia="宋体" w:cs="宋体"/>
        </w:rPr>
        <w:t>）投标产品不得选配缺陷责任期（自设备投运之日起两年内）发生产品质量问题（包括但不限于接续、接触机械电气性能，支撑、封闭绝缘性能，以及电力电子性能下降、老化、毁损、丧失等）导致设备停运检修的组件材料制造商的产品。</w:t>
      </w:r>
    </w:p>
    <w:p>
      <w:pPr>
        <w:tabs>
          <w:tab w:val="left" w:pos="1134"/>
        </w:tabs>
        <w:adjustRightInd w:val="0"/>
        <w:snapToGrid w:val="0"/>
        <w:spacing w:line="400" w:lineRule="exact"/>
        <w:ind w:firstLine="420" w:firstLineChars="200"/>
        <w:rPr>
          <w:rFonts w:hint="eastAsia" w:ascii="宋体" w:hAnsi="宋体" w:eastAsia="宋体" w:cs="宋体"/>
        </w:rPr>
      </w:pPr>
      <w:r>
        <w:rPr>
          <w:rFonts w:hint="eastAsia" w:ascii="宋体" w:hAnsi="宋体" w:eastAsia="宋体" w:cs="宋体"/>
        </w:rPr>
        <w:t>（</w:t>
      </w:r>
      <w:r>
        <w:rPr>
          <w:rFonts w:ascii="宋体" w:hAnsi="宋体" w:eastAsia="宋体" w:cs="宋体"/>
        </w:rPr>
        <w:t>12</w:t>
      </w:r>
      <w:r>
        <w:rPr>
          <w:rFonts w:hint="eastAsia" w:ascii="宋体" w:hAnsi="宋体" w:eastAsia="宋体" w:cs="宋体"/>
        </w:rPr>
        <w:t>）其他</w:t>
      </w:r>
    </w:p>
    <w:p>
      <w:pPr>
        <w:tabs>
          <w:tab w:val="left" w:pos="1134"/>
        </w:tabs>
        <w:adjustRightInd w:val="0"/>
        <w:snapToGrid w:val="0"/>
        <w:spacing w:line="400" w:lineRule="exact"/>
        <w:ind w:firstLine="420" w:firstLineChars="200"/>
        <w:rPr>
          <w:rFonts w:hint="eastAsia" w:ascii="宋体" w:hAnsi="宋体" w:eastAsia="宋体" w:cs="宋体"/>
          <w:highlight w:val="yellow"/>
          <w:lang w:val="zh-CN"/>
        </w:rPr>
      </w:pPr>
      <w:r>
        <w:rPr>
          <w:rFonts w:hint="eastAsia" w:ascii="宋体" w:hAnsi="宋体" w:eastAsia="宋体" w:cs="宋体"/>
          <w:highlight w:val="yellow"/>
          <w:lang w:val="en-US" w:eastAsia="zh-CN"/>
        </w:rPr>
        <w:t>投标人提供的检测、检验、试验报告中的检测试验项目的检测结果须满足招标文件中的技术要求。</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3.6 </w:t>
      </w:r>
      <w:r>
        <w:rPr>
          <w:rFonts w:hint="eastAsia" w:ascii="宋体" w:hAnsi="宋体" w:eastAsia="宋体" w:cs="宋体"/>
        </w:rPr>
        <w:t>投标人及其投标产品须满足相应招标货物的专用资格要求如下：</w:t>
      </w:r>
    </w:p>
    <w:p>
      <w:pPr>
        <w:keepNext w:val="0"/>
        <w:keepLines w:val="0"/>
        <w:pageBreakBefore w:val="0"/>
        <w:widowControl w:val="0"/>
        <w:tabs>
          <w:tab w:val="left" w:pos="1134"/>
        </w:tabs>
        <w:kinsoku/>
        <w:wordWrap/>
        <w:overflowPunct/>
        <w:topLinePunct w:val="0"/>
        <w:bidi w:val="0"/>
        <w:adjustRightInd w:val="0"/>
        <w:snapToGrid w:val="0"/>
        <w:spacing w:line="400" w:lineRule="exact"/>
        <w:ind w:firstLine="420" w:firstLineChars="200"/>
        <w:textAlignment w:val="auto"/>
        <w:rPr>
          <w:rFonts w:hint="eastAsia" w:ascii="宋体" w:hAnsi="宋体" w:eastAsia="宋体" w:cs="宋体"/>
        </w:rPr>
      </w:pPr>
      <w:r>
        <w:rPr>
          <w:rFonts w:hint="eastAsia" w:ascii="宋体" w:hAnsi="宋体" w:eastAsia="宋体" w:cs="宋体"/>
        </w:rPr>
        <w:t>详见招标公告附件。</w:t>
      </w:r>
    </w:p>
    <w:p>
      <w:pPr>
        <w:pStyle w:val="2"/>
        <w:keepNext w:val="0"/>
        <w:keepLines w:val="0"/>
        <w:pageBreakBefore w:val="0"/>
        <w:widowControl w:val="0"/>
        <w:kinsoku/>
        <w:wordWrap/>
        <w:overflowPunct/>
        <w:topLinePunct w:val="0"/>
        <w:bidi w:val="0"/>
        <w:spacing w:line="400" w:lineRule="exact"/>
        <w:ind w:left="0" w:leftChars="0" w:firstLine="422" w:firstLineChars="200"/>
        <w:textAlignment w:val="auto"/>
        <w:rPr>
          <w:rFonts w:hint="eastAsia" w:ascii="宋体" w:hAnsi="宋体" w:eastAsia="宋体" w:cs="宋体"/>
          <w:b/>
          <w:bCs/>
          <w:color w:val="FF0000"/>
          <w:sz w:val="21"/>
          <w:szCs w:val="21"/>
          <w:lang w:val="en-US" w:eastAsia="zh-CN"/>
        </w:rPr>
      </w:pPr>
      <w:r>
        <w:rPr>
          <w:rFonts w:hint="eastAsia" w:ascii="宋体" w:hAnsi="宋体" w:eastAsia="宋体" w:cs="宋体"/>
          <w:b/>
          <w:bCs/>
          <w:sz w:val="21"/>
          <w:szCs w:val="21"/>
        </w:rPr>
        <w:t>通用资格要求与专用资质业绩要求不一致的地方，均以专用资质业绩要求为准。技术规范中如果有对投标人的资质业绩要求，以招标公告</w:t>
      </w:r>
      <w:r>
        <w:rPr>
          <w:rFonts w:hint="eastAsia" w:ascii="宋体" w:hAnsi="宋体" w:eastAsia="宋体" w:cs="宋体"/>
          <w:b/>
          <w:bCs/>
          <w:sz w:val="21"/>
          <w:szCs w:val="21"/>
          <w:lang w:eastAsia="zh-CN"/>
        </w:rPr>
        <w:t>中</w:t>
      </w:r>
      <w:r>
        <w:rPr>
          <w:rFonts w:hint="eastAsia" w:ascii="宋体" w:hAnsi="宋体" w:eastAsia="宋体" w:cs="宋体"/>
          <w:b/>
          <w:sz w:val="21"/>
          <w:szCs w:val="21"/>
        </w:rPr>
        <w:t>资质业绩要求</w:t>
      </w:r>
      <w:r>
        <w:rPr>
          <w:rFonts w:hint="eastAsia" w:ascii="宋体" w:hAnsi="宋体" w:eastAsia="宋体" w:cs="宋体"/>
          <w:b/>
          <w:bCs/>
          <w:sz w:val="21"/>
          <w:szCs w:val="21"/>
        </w:rPr>
        <w:t>为准。</w:t>
      </w:r>
      <w:r>
        <w:rPr>
          <w:rFonts w:hint="eastAsia" w:ascii="宋体" w:hAnsi="宋体" w:eastAsia="宋体" w:cs="宋体"/>
          <w:b/>
          <w:bCs/>
          <w:color w:val="FF0000"/>
          <w:sz w:val="21"/>
          <w:szCs w:val="21"/>
          <w:lang w:val="en-US" w:eastAsia="zh-CN"/>
        </w:rPr>
        <w:t>预审标段投标人无需再提供业绩相关证明材料。</w:t>
      </w:r>
    </w:p>
    <w:p>
      <w:pPr>
        <w:pStyle w:val="2"/>
        <w:keepNext w:val="0"/>
        <w:keepLines w:val="0"/>
        <w:pageBreakBefore w:val="0"/>
        <w:widowControl w:val="0"/>
        <w:kinsoku/>
        <w:wordWrap/>
        <w:overflowPunct/>
        <w:topLinePunct w:val="0"/>
        <w:bidi w:val="0"/>
        <w:spacing w:line="400" w:lineRule="exact"/>
        <w:ind w:left="0" w:leftChars="0" w:firstLine="422" w:firstLineChars="200"/>
        <w:textAlignment w:val="auto"/>
      </w:pPr>
      <w:r>
        <w:rPr>
          <w:rFonts w:hint="eastAsia" w:ascii="宋体" w:hAnsi="宋体" w:eastAsia="宋体" w:cs="宋体"/>
          <w:b/>
          <w:sz w:val="21"/>
          <w:szCs w:val="21"/>
          <w:highlight w:val="yellow"/>
          <w:lang w:val="en-US" w:eastAsia="zh-CN"/>
        </w:rPr>
        <w:t>招标文件中所涉及的国家标准、行业标准及企业标准等，如有更新，执行最新版本</w:t>
      </w:r>
      <w:r>
        <w:rPr>
          <w:rFonts w:hint="eastAsia" w:ascii="宋体" w:hAnsi="宋体" w:eastAsia="宋体" w:cs="宋体"/>
          <w:b/>
          <w:sz w:val="21"/>
          <w:szCs w:val="21"/>
          <w:highlight w:val="yellow"/>
        </w:rPr>
        <w:t>；通用技术规范和专用技术规范有不一致的，以专用技术规范要求为准。</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3.7 </w:t>
      </w:r>
      <w:r>
        <w:rPr>
          <w:rFonts w:hint="eastAsia" w:ascii="宋体" w:hAnsi="宋体" w:eastAsia="宋体" w:cs="宋体"/>
        </w:rPr>
        <w:t>本次招标不接受投标人委托中介机构或者中间人编制投标文件或代行办理投标事宜。</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3.8 </w:t>
      </w:r>
      <w:r>
        <w:rPr>
          <w:rFonts w:hint="eastAsia" w:ascii="宋体" w:hAnsi="宋体" w:eastAsia="宋体" w:cs="宋体"/>
        </w:rPr>
        <w:t>各投标人均可就本次招标的部分或全部标包投标。</w:t>
      </w:r>
    </w:p>
    <w:p>
      <w:pPr>
        <w:keepNext w:val="0"/>
        <w:keepLines w:val="0"/>
        <w:pageBreakBefore w:val="0"/>
        <w:widowControl w:val="0"/>
        <w:tabs>
          <w:tab w:val="left" w:pos="1134"/>
        </w:tabs>
        <w:kinsoku/>
        <w:wordWrap/>
        <w:overflowPunct/>
        <w:topLinePunct w:val="0"/>
        <w:bidi w:val="0"/>
        <w:adjustRightInd w:val="0"/>
        <w:snapToGrid w:val="0"/>
        <w:spacing w:line="400" w:lineRule="exact"/>
        <w:ind w:firstLine="420" w:firstLineChars="200"/>
        <w:textAlignment w:val="auto"/>
        <w:rPr>
          <w:rFonts w:hint="eastAsia" w:ascii="宋体" w:hAnsi="宋体" w:eastAsia="宋体" w:cs="宋体"/>
          <w:color w:val="0000FF"/>
        </w:rPr>
      </w:pPr>
      <w:r>
        <w:rPr>
          <w:rFonts w:ascii="宋体" w:hAnsi="宋体" w:eastAsia="宋体" w:cs="宋体"/>
        </w:rPr>
        <w:t xml:space="preserve">3.9 </w:t>
      </w:r>
      <w:r>
        <w:rPr>
          <w:rFonts w:hint="eastAsia" w:ascii="宋体" w:hAnsi="宋体" w:eastAsia="宋体" w:cs="宋体"/>
          <w:color w:val="0000FF"/>
        </w:rPr>
        <w:t>同一投标人对同一分标下同一物料编码同一技术规范编码的采购申请行单价的投标报价应保持一致。否则将做否决处理。</w:t>
      </w:r>
    </w:p>
    <w:p>
      <w:pPr>
        <w:pStyle w:val="2"/>
        <w:keepNext w:val="0"/>
        <w:keepLines w:val="0"/>
        <w:pageBreakBefore w:val="0"/>
        <w:widowControl w:val="0"/>
        <w:kinsoku/>
        <w:wordWrap/>
        <w:overflowPunct/>
        <w:topLinePunct w:val="0"/>
        <w:bidi w:val="0"/>
        <w:spacing w:line="400" w:lineRule="exact"/>
        <w:ind w:left="0" w:leftChars="0" w:firstLine="840" w:firstLineChars="400"/>
        <w:textAlignment w:val="auto"/>
        <w:rPr>
          <w:rFonts w:hint="eastAsia"/>
        </w:rPr>
      </w:pPr>
      <w:r>
        <w:rPr>
          <w:rFonts w:hint="eastAsia" w:ascii="宋体" w:hAnsi="宋体" w:eastAsia="宋体" w:cs="宋体"/>
          <w:color w:val="0000FF"/>
          <w:kern w:val="2"/>
          <w:sz w:val="21"/>
          <w:szCs w:val="22"/>
          <w:lang w:val="en-US" w:eastAsia="zh-CN" w:bidi="ar-SA"/>
        </w:rPr>
        <w:t>同一标包内，针对同一采购申请行，投标人报价出现明显偏差将做否决处理。具体规则详见第三章评标办法。</w:t>
      </w:r>
    </w:p>
    <w:p>
      <w:pPr>
        <w:adjustRightInd w:val="0"/>
        <w:snapToGrid w:val="0"/>
        <w:spacing w:beforeLines="100" w:afterLines="50"/>
        <w:outlineLvl w:val="1"/>
        <w:rPr>
          <w:rFonts w:ascii="黑体" w:hAnsi="Calibri" w:eastAsia="黑体"/>
          <w:b/>
          <w:sz w:val="24"/>
        </w:rPr>
      </w:pPr>
      <w:bookmarkStart w:id="80" w:name="_bookmark5"/>
      <w:bookmarkEnd w:id="80"/>
      <w:bookmarkStart w:id="81" w:name="_Toc62549189"/>
      <w:bookmarkStart w:id="82" w:name="_Toc23417"/>
      <w:bookmarkStart w:id="83" w:name="_Toc27496"/>
      <w:bookmarkStart w:id="84" w:name="_Toc14214"/>
      <w:bookmarkStart w:id="85" w:name="_Toc408"/>
      <w:bookmarkStart w:id="86" w:name="_Toc62221758"/>
      <w:bookmarkStart w:id="87" w:name="_Toc62549133"/>
      <w:bookmarkStart w:id="88" w:name="_Toc31472"/>
      <w:bookmarkStart w:id="89" w:name="_Toc12685"/>
      <w:bookmarkStart w:id="90" w:name="_Toc32111"/>
      <w:bookmarkStart w:id="91" w:name="_Toc62222026"/>
      <w:bookmarkStart w:id="92" w:name="_Toc5537"/>
      <w:bookmarkStart w:id="93" w:name="_Toc62221467"/>
      <w:bookmarkStart w:id="94" w:name="_Toc9218"/>
      <w:bookmarkStart w:id="95" w:name="_Toc62222574"/>
      <w:bookmarkStart w:id="96" w:name="_Toc5548"/>
      <w:r>
        <w:rPr>
          <w:rFonts w:ascii="黑体" w:hAnsi="Calibri" w:eastAsia="黑体"/>
          <w:b/>
          <w:sz w:val="24"/>
        </w:rPr>
        <w:t>4.</w:t>
      </w:r>
      <w:r>
        <w:rPr>
          <w:rFonts w:hint="eastAsia" w:ascii="黑体" w:hAnsi="Calibri" w:eastAsia="黑体"/>
          <w:b/>
          <w:sz w:val="24"/>
        </w:rPr>
        <w:t>招标文件的获取</w:t>
      </w:r>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4.1 </w:t>
      </w:r>
      <w:r>
        <w:rPr>
          <w:rFonts w:hint="eastAsia" w:ascii="宋体" w:hAnsi="宋体" w:eastAsia="宋体" w:cs="宋体"/>
        </w:rPr>
        <w:t>招标文件（电子文件）免费获取。</w:t>
      </w:r>
    </w:p>
    <w:p>
      <w:pPr>
        <w:tabs>
          <w:tab w:val="left" w:pos="1134"/>
        </w:tabs>
        <w:wordWrap w:val="0"/>
        <w:adjustRightInd w:val="0"/>
        <w:snapToGrid w:val="0"/>
        <w:spacing w:line="400" w:lineRule="exact"/>
        <w:ind w:firstLine="420" w:firstLineChars="200"/>
        <w:rPr>
          <w:rFonts w:ascii="宋体" w:hAnsi="宋体" w:eastAsia="宋体" w:cs="宋体"/>
        </w:rPr>
      </w:pPr>
      <w:r>
        <w:rPr>
          <w:rFonts w:ascii="宋体" w:hAnsi="宋体" w:eastAsia="宋体" w:cs="宋体"/>
        </w:rPr>
        <w:t>4.2</w:t>
      </w:r>
      <w:r>
        <w:rPr>
          <w:rFonts w:hint="eastAsia" w:ascii="宋体" w:hAnsi="宋体" w:eastAsia="宋体" w:cs="宋体"/>
        </w:rPr>
        <w:t>凡有意参加投标者，请于</w:t>
      </w:r>
      <w:r>
        <w:rPr>
          <w:rFonts w:hint="eastAsia" w:ascii="宋体" w:hAnsi="宋体" w:eastAsia="宋体" w:cs="宋体"/>
          <w:highlight w:val="yellow"/>
          <w:lang w:eastAsia="zh-CN"/>
        </w:rPr>
        <w:t>202</w:t>
      </w:r>
      <w:r>
        <w:rPr>
          <w:rFonts w:hint="eastAsia" w:ascii="宋体" w:hAnsi="宋体" w:eastAsia="宋体" w:cs="宋体"/>
          <w:highlight w:val="yellow"/>
          <w:lang w:val="en-US" w:eastAsia="zh-CN"/>
        </w:rPr>
        <w:t>6</w:t>
      </w:r>
      <w:r>
        <w:rPr>
          <w:rFonts w:hint="eastAsia" w:ascii="宋体" w:hAnsi="宋体" w:eastAsia="宋体" w:cs="宋体"/>
          <w:highlight w:val="yellow"/>
          <w:lang w:eastAsia="zh-CN"/>
        </w:rPr>
        <w:t>年</w:t>
      </w:r>
      <w:r>
        <w:rPr>
          <w:rFonts w:hint="eastAsia" w:ascii="宋体" w:hAnsi="宋体" w:eastAsia="宋体" w:cs="宋体"/>
          <w:highlight w:val="yellow"/>
          <w:lang w:val="en-US" w:eastAsia="zh-CN"/>
        </w:rPr>
        <w:t>4</w:t>
      </w:r>
      <w:r>
        <w:rPr>
          <w:rFonts w:hint="eastAsia" w:ascii="宋体" w:hAnsi="宋体" w:eastAsia="宋体" w:cs="宋体"/>
          <w:highlight w:val="yellow"/>
          <w:lang w:eastAsia="zh-CN"/>
        </w:rPr>
        <w:t>月</w:t>
      </w:r>
      <w:r>
        <w:rPr>
          <w:rFonts w:hint="eastAsia" w:ascii="宋体" w:hAnsi="宋体" w:eastAsia="宋体" w:cs="宋体"/>
          <w:highlight w:val="yellow"/>
          <w:lang w:val="en-US" w:eastAsia="zh-CN"/>
        </w:rPr>
        <w:t>30</w:t>
      </w:r>
      <w:r>
        <w:rPr>
          <w:rFonts w:hint="eastAsia" w:ascii="宋体" w:hAnsi="宋体" w:eastAsia="宋体" w:cs="宋体"/>
          <w:highlight w:val="yellow"/>
          <w:lang w:eastAsia="zh-CN"/>
        </w:rPr>
        <w:t>日</w:t>
      </w:r>
      <w:r>
        <w:rPr>
          <w:rFonts w:ascii="宋体" w:hAnsi="宋体" w:eastAsia="宋体" w:cs="宋体"/>
          <w:highlight w:val="yellow"/>
        </w:rPr>
        <w:t>-202</w:t>
      </w:r>
      <w:r>
        <w:rPr>
          <w:rFonts w:hint="eastAsia" w:ascii="宋体" w:hAnsi="宋体" w:eastAsia="宋体" w:cs="宋体"/>
          <w:highlight w:val="yellow"/>
          <w:lang w:val="en-US" w:eastAsia="zh-CN"/>
        </w:rPr>
        <w:t>6</w:t>
      </w:r>
      <w:r>
        <w:rPr>
          <w:rFonts w:hint="eastAsia" w:ascii="宋体" w:hAnsi="宋体" w:eastAsia="宋体" w:cs="宋体"/>
          <w:highlight w:val="yellow"/>
        </w:rPr>
        <w:t>年</w:t>
      </w:r>
      <w:r>
        <w:rPr>
          <w:rFonts w:hint="eastAsia" w:ascii="宋体" w:hAnsi="宋体" w:eastAsia="宋体" w:cs="宋体"/>
          <w:highlight w:val="yellow"/>
          <w:lang w:val="en-US" w:eastAsia="zh-CN"/>
        </w:rPr>
        <w:t>5</w:t>
      </w:r>
      <w:r>
        <w:rPr>
          <w:rFonts w:hint="eastAsia" w:ascii="宋体" w:hAnsi="宋体" w:eastAsia="宋体" w:cs="宋体"/>
          <w:highlight w:val="yellow"/>
        </w:rPr>
        <w:t>月</w:t>
      </w:r>
      <w:r>
        <w:rPr>
          <w:rFonts w:hint="eastAsia" w:ascii="宋体" w:hAnsi="宋体" w:eastAsia="宋体" w:cs="宋体"/>
          <w:highlight w:val="yellow"/>
          <w:lang w:val="en-US" w:eastAsia="zh-CN"/>
        </w:rPr>
        <w:t>7</w:t>
      </w:r>
      <w:r>
        <w:rPr>
          <w:rFonts w:hint="eastAsia" w:ascii="宋体" w:hAnsi="宋体" w:eastAsia="宋体" w:cs="宋体"/>
          <w:highlight w:val="yellow"/>
        </w:rPr>
        <w:t>日</w:t>
      </w:r>
      <w:r>
        <w:rPr>
          <w:rFonts w:hint="eastAsia" w:ascii="宋体" w:hAnsi="宋体" w:eastAsia="宋体" w:cs="宋体"/>
          <w:highlight w:val="yellow"/>
          <w:lang w:val="en-US" w:eastAsia="zh-CN"/>
        </w:rPr>
        <w:t>17</w:t>
      </w:r>
      <w:r>
        <w:rPr>
          <w:rFonts w:ascii="宋体" w:hAnsi="宋体" w:eastAsia="宋体" w:cs="宋体"/>
          <w:highlight w:val="yellow"/>
        </w:rPr>
        <w:t>:00</w:t>
      </w:r>
      <w:r>
        <w:rPr>
          <w:rFonts w:hint="eastAsia" w:ascii="宋体" w:hAnsi="宋体" w:eastAsia="宋体" w:cs="宋体"/>
          <w:highlight w:val="yellow"/>
        </w:rPr>
        <w:t>时</w:t>
      </w:r>
      <w:r>
        <w:rPr>
          <w:rFonts w:hint="eastAsia" w:ascii="宋体" w:hAnsi="宋体" w:eastAsia="宋体" w:cs="宋体"/>
        </w:rPr>
        <w:t>（北京时间，下同），登录招标人招投标交易平台信息系统（</w:t>
      </w:r>
      <w:r>
        <w:rPr>
          <w:rFonts w:hint="eastAsia" w:ascii="宋体" w:hAnsi="宋体" w:eastAsia="宋体" w:cs="宋体"/>
          <w:b/>
        </w:rPr>
        <w:t>国家电网有限公司电子商务平台</w:t>
      </w:r>
      <w:r>
        <w:rPr>
          <w:rFonts w:ascii="宋体" w:hAnsi="宋体" w:eastAsia="宋体" w:cs="宋体"/>
          <w:b/>
        </w:rPr>
        <w:t>https://ecp.sgcc.com.cn</w:t>
      </w:r>
      <w:r>
        <w:rPr>
          <w:rFonts w:hint="eastAsia" w:ascii="宋体" w:hAnsi="宋体" w:eastAsia="宋体" w:cs="宋体"/>
          <w:b/>
        </w:rPr>
        <w:t>）</w:t>
      </w:r>
      <w:r>
        <w:rPr>
          <w:rFonts w:hint="eastAsia" w:ascii="宋体" w:hAnsi="宋体" w:eastAsia="宋体" w:cs="宋体"/>
        </w:rPr>
        <w:t>获取招标文件，并按《电子招标投标办法》等国家法律法规要求，到第三方认证机构办理</w:t>
      </w:r>
      <w:r>
        <w:rPr>
          <w:rFonts w:ascii="宋体" w:hAnsi="宋体" w:eastAsia="宋体" w:cs="宋体"/>
        </w:rPr>
        <w:t>CA</w:t>
      </w:r>
      <w:r>
        <w:rPr>
          <w:rFonts w:hint="eastAsia" w:ascii="宋体" w:hAnsi="宋体" w:eastAsia="宋体" w:cs="宋体"/>
        </w:rPr>
        <w:t>证书电子钥匙。投标人应妥善保管招标人招投标交易平台信息系统账号和密码，以及</w:t>
      </w:r>
      <w:r>
        <w:rPr>
          <w:rFonts w:ascii="宋体" w:hAnsi="宋体" w:eastAsia="宋体" w:cs="宋体"/>
        </w:rPr>
        <w:t>CA</w:t>
      </w:r>
      <w:r>
        <w:rPr>
          <w:rFonts w:hint="eastAsia" w:ascii="宋体" w:hAnsi="宋体" w:eastAsia="宋体" w:cs="宋体"/>
        </w:rPr>
        <w:t>数字证书和密码，因上述账号、数字证书或密码保管不当造成的损失，由投标人自行承担。</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投标人应在招标人招投标交易平台信息系统注册并办理</w:t>
      </w:r>
      <w:r>
        <w:rPr>
          <w:rFonts w:ascii="宋体" w:hAnsi="宋体" w:eastAsia="宋体" w:cs="宋体"/>
        </w:rPr>
        <w:t>CA</w:t>
      </w:r>
      <w:r>
        <w:rPr>
          <w:rFonts w:hint="eastAsia" w:ascii="宋体" w:hAnsi="宋体" w:eastAsia="宋体" w:cs="宋体"/>
        </w:rPr>
        <w:t>证书电子钥匙方可获取招标文件，电子钥匙的办理流程请登录招标人招投标交易平台信息系统首页“新手指引”→“电子钥匙办理须知及电子钥匙安装包”下载所有文件仔细阅读。电子钥匙的办理需要一定的时间，请潜在投标人高度重视。由于没有及时办理电子钥匙导致获取招标文件失败，由投标人自行承担相关责任。支持电话为：</w:t>
      </w:r>
      <w:r>
        <w:rPr>
          <w:rFonts w:ascii="宋体" w:hAnsi="宋体" w:eastAsia="宋体" w:cs="宋体"/>
        </w:rPr>
        <w:t>4009915500</w:t>
      </w:r>
      <w:r>
        <w:rPr>
          <w:rFonts w:hint="eastAsia" w:ascii="宋体" w:hAnsi="宋体" w:eastAsia="宋体" w:cs="宋体"/>
        </w:rPr>
        <w:t>。</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4.3</w:t>
      </w:r>
      <w:r>
        <w:rPr>
          <w:rFonts w:hint="eastAsia" w:ascii="宋体" w:hAnsi="宋体" w:eastAsia="宋体" w:cs="宋体"/>
        </w:rPr>
        <w:t>投标人需利用投标工具进行电子投标文件编制。投标工具下载方式：请各投标人在招标人招投标交易平台信息系统首页“下载专区→供应商投标工具”下载并安装。操作手册及注意事项见首页“操作说明→</w:t>
      </w:r>
      <w:r>
        <w:rPr>
          <w:rFonts w:ascii="宋体" w:hAnsi="宋体" w:eastAsia="宋体" w:cs="宋体"/>
        </w:rPr>
        <w:t>ECP2.0</w:t>
      </w:r>
      <w:r>
        <w:rPr>
          <w:rFonts w:hint="eastAsia" w:ascii="宋体" w:hAnsi="宋体" w:eastAsia="宋体" w:cs="宋体"/>
        </w:rPr>
        <w:t>招标采购流程供应商操作手册“或“演示视频→投标工具新</w:t>
      </w:r>
      <w:r>
        <w:rPr>
          <w:rFonts w:ascii="宋体" w:hAnsi="宋体" w:eastAsia="宋体" w:cs="宋体"/>
        </w:rPr>
        <w:t>U+</w:t>
      </w:r>
      <w:r>
        <w:rPr>
          <w:rFonts w:hint="eastAsia" w:ascii="宋体" w:hAnsi="宋体" w:eastAsia="宋体" w:cs="宋体"/>
        </w:rPr>
        <w:t>操作指导视频”。投标工具操作问题联系招标人招投标交易平台信息系统支持服务电话：</w:t>
      </w:r>
      <w:r>
        <w:rPr>
          <w:rFonts w:ascii="宋体" w:hAnsi="宋体" w:eastAsia="宋体" w:cs="宋体"/>
        </w:rPr>
        <w:t>010-63411000</w:t>
      </w:r>
      <w:r>
        <w:rPr>
          <w:rFonts w:hint="eastAsia" w:ascii="宋体" w:hAnsi="宋体" w:eastAsia="宋体" w:cs="宋体"/>
        </w:rPr>
        <w:t>。使用投标工具电脑配置要求：内存大于</w:t>
      </w:r>
      <w:r>
        <w:rPr>
          <w:rFonts w:ascii="宋体" w:hAnsi="宋体" w:eastAsia="宋体" w:cs="宋体"/>
        </w:rPr>
        <w:t>8GB</w:t>
      </w:r>
      <w:r>
        <w:rPr>
          <w:rFonts w:hint="eastAsia" w:ascii="宋体" w:hAnsi="宋体" w:eastAsia="宋体" w:cs="宋体"/>
        </w:rPr>
        <w:t>，</w:t>
      </w:r>
      <w:r>
        <w:rPr>
          <w:rFonts w:ascii="宋体" w:hAnsi="宋体" w:eastAsia="宋体" w:cs="宋体"/>
        </w:rPr>
        <w:t>64</w:t>
      </w:r>
      <w:r>
        <w:rPr>
          <w:rFonts w:hint="eastAsia" w:ascii="宋体" w:hAnsi="宋体" w:eastAsia="宋体" w:cs="宋体"/>
        </w:rPr>
        <w:t>位操作系统。</w:t>
      </w:r>
    </w:p>
    <w:p>
      <w:pPr>
        <w:tabs>
          <w:tab w:val="left" w:pos="1134"/>
        </w:tabs>
        <w:adjustRightInd w:val="0"/>
        <w:snapToGrid w:val="0"/>
        <w:spacing w:line="400" w:lineRule="exact"/>
        <w:ind w:firstLine="420" w:firstLineChars="200"/>
        <w:rPr>
          <w:rFonts w:ascii="宋体" w:hAnsi="宋体" w:eastAsia="宋体" w:cs="宋体"/>
          <w:color w:val="0000FF"/>
        </w:rPr>
      </w:pPr>
      <w:r>
        <w:rPr>
          <w:rFonts w:ascii="宋体" w:hAnsi="宋体" w:eastAsia="宋体" w:cs="宋体"/>
          <w:color w:val="0000FF"/>
        </w:rPr>
        <w:t>4.4</w:t>
      </w:r>
      <w:r>
        <w:rPr>
          <w:rFonts w:hint="eastAsia" w:ascii="宋体" w:hAnsi="宋体" w:eastAsia="宋体" w:cs="宋体"/>
          <w:color w:val="0000FF"/>
        </w:rPr>
        <w:t>招标采购辅助工具下载方式：各投标人请在国家电网有限公司新一代电子商务平台首页“公共信息</w:t>
      </w:r>
      <w:r>
        <w:rPr>
          <w:rFonts w:ascii="宋体" w:hAnsi="宋体" w:eastAsia="宋体" w:cs="宋体"/>
          <w:color w:val="0000FF"/>
        </w:rPr>
        <w:t>—&gt;</w:t>
      </w:r>
      <w:r>
        <w:rPr>
          <w:rFonts w:hint="eastAsia" w:ascii="宋体" w:hAnsi="宋体" w:eastAsia="宋体" w:cs="宋体"/>
          <w:color w:val="0000FF"/>
        </w:rPr>
        <w:t>（选择）</w:t>
      </w:r>
      <w:r>
        <w:rPr>
          <w:rFonts w:hint="eastAsia" w:ascii="宋体" w:hAnsi="宋体" w:eastAsia="宋体" w:cs="宋体"/>
          <w:color w:val="0000FF"/>
          <w:lang w:eastAsia="zh-CN"/>
        </w:rPr>
        <w:t>国网山西省电力有限公司</w:t>
      </w:r>
      <w:r>
        <w:rPr>
          <w:rFonts w:hint="eastAsia" w:ascii="宋体" w:hAnsi="宋体" w:eastAsia="宋体" w:cs="宋体"/>
          <w:color w:val="0000FF"/>
        </w:rPr>
        <w:t>”，搜索“</w:t>
      </w:r>
      <w:r>
        <w:rPr>
          <w:rFonts w:hint="eastAsia" w:ascii="宋体" w:hAnsi="宋体" w:eastAsia="宋体" w:cs="宋体"/>
          <w:color w:val="0000FF"/>
          <w:lang w:eastAsia="zh-CN"/>
        </w:rPr>
        <w:t>国网山西电力2026年第二次物资协议库存公开招标采购</w:t>
      </w:r>
      <w:r>
        <w:rPr>
          <w:rFonts w:ascii="宋体" w:hAnsi="宋体" w:eastAsia="宋体" w:cs="宋体"/>
          <w:color w:val="0000FF"/>
        </w:rPr>
        <w:t>_</w:t>
      </w:r>
      <w:r>
        <w:rPr>
          <w:rFonts w:hint="eastAsia" w:ascii="宋体" w:hAnsi="宋体" w:eastAsia="宋体" w:cs="宋体"/>
          <w:color w:val="0000FF"/>
        </w:rPr>
        <w:t>招标采购辅助工具”，下载“招标采购辅助工具”及操作手册。“招标采购辅助工具”功能有调整，请投标人务必使用新的“招标采购辅助工具”。“招标采购辅助工具”操作演示可以通过百度网盘下载观看，链接：</w:t>
      </w:r>
      <w:r>
        <w:rPr>
          <w:rFonts w:ascii="宋体" w:hAnsi="宋体" w:eastAsia="宋体" w:cs="宋体"/>
          <w:color w:val="0000FF"/>
        </w:rPr>
        <w:t xml:space="preserve">https://pan.baidu.com/s/1QulRUAl5Wcd1Wx2jxyytmg </w:t>
      </w:r>
      <w:r>
        <w:rPr>
          <w:rFonts w:hint="eastAsia" w:ascii="宋体" w:hAnsi="宋体" w:eastAsia="宋体" w:cs="宋体"/>
          <w:color w:val="0000FF"/>
        </w:rPr>
        <w:t>提取码：</w:t>
      </w:r>
      <w:r>
        <w:rPr>
          <w:rFonts w:ascii="宋体" w:hAnsi="宋体" w:eastAsia="宋体" w:cs="宋体"/>
          <w:color w:val="0000FF"/>
        </w:rPr>
        <w:t>4tc3</w:t>
      </w:r>
      <w:r>
        <w:rPr>
          <w:rFonts w:hint="eastAsia" w:ascii="宋体" w:hAnsi="宋体" w:eastAsia="宋体" w:cs="宋体"/>
          <w:color w:val="0000FF"/>
        </w:rPr>
        <w:t>。</w:t>
      </w:r>
    </w:p>
    <w:p>
      <w:pPr>
        <w:tabs>
          <w:tab w:val="left" w:pos="1134"/>
        </w:tabs>
        <w:adjustRightInd w:val="0"/>
        <w:snapToGrid w:val="0"/>
        <w:spacing w:line="400" w:lineRule="exact"/>
        <w:ind w:firstLine="420" w:firstLineChars="200"/>
        <w:rPr>
          <w:rFonts w:ascii="宋体" w:hAnsi="宋体" w:eastAsia="宋体" w:cs="宋体"/>
          <w:color w:val="0000FF"/>
        </w:rPr>
      </w:pPr>
      <w:r>
        <w:rPr>
          <w:rFonts w:hint="eastAsia" w:ascii="宋体" w:hAnsi="宋体" w:eastAsia="宋体" w:cs="宋体"/>
          <w:color w:val="0000FF"/>
        </w:rPr>
        <w:t>“招标采购辅助工具”技术支持人员联系方式：</w:t>
      </w:r>
    </w:p>
    <w:p>
      <w:pPr>
        <w:tabs>
          <w:tab w:val="left" w:pos="1134"/>
        </w:tabs>
        <w:adjustRightInd w:val="0"/>
        <w:snapToGrid w:val="0"/>
        <w:spacing w:line="400" w:lineRule="exact"/>
        <w:ind w:firstLine="420" w:firstLineChars="200"/>
        <w:rPr>
          <w:rFonts w:hint="default" w:ascii="宋体" w:hAnsi="宋体" w:eastAsia="宋体" w:cs="宋体"/>
          <w:color w:val="0000FF"/>
          <w:lang w:val="en-US" w:eastAsia="zh-CN"/>
        </w:rPr>
      </w:pPr>
      <w:r>
        <w:rPr>
          <w:rFonts w:hint="eastAsia" w:ascii="宋体" w:hAnsi="宋体" w:eastAsia="宋体" w:cs="宋体"/>
          <w:color w:val="0000FF"/>
        </w:rPr>
        <w:t>杨工：</w:t>
      </w:r>
      <w:r>
        <w:rPr>
          <w:rFonts w:hint="eastAsia" w:ascii="宋体" w:hAnsi="宋体" w:eastAsia="宋体" w:cs="宋体"/>
          <w:color w:val="0000FF"/>
          <w:lang w:val="en-US" w:eastAsia="zh-CN"/>
        </w:rPr>
        <w:t>0351-3722510</w:t>
      </w:r>
    </w:p>
    <w:p>
      <w:pPr>
        <w:tabs>
          <w:tab w:val="left" w:pos="1134"/>
        </w:tabs>
        <w:adjustRightInd w:val="0"/>
        <w:snapToGrid w:val="0"/>
        <w:spacing w:line="400" w:lineRule="exact"/>
        <w:ind w:firstLine="420" w:firstLineChars="200"/>
        <w:rPr>
          <w:rFonts w:ascii="宋体" w:hAnsi="宋体" w:eastAsia="宋体" w:cs="宋体"/>
          <w:color w:val="0000FF"/>
        </w:rPr>
      </w:pPr>
      <w:r>
        <w:rPr>
          <w:rFonts w:ascii="宋体" w:hAnsi="宋体" w:eastAsia="宋体" w:cs="宋体"/>
          <w:color w:val="0000FF"/>
        </w:rPr>
        <w:t>4.5</w:t>
      </w:r>
      <w:r>
        <w:rPr>
          <w:rFonts w:hint="eastAsia" w:ascii="宋体" w:hAnsi="宋体" w:eastAsia="宋体" w:cs="宋体"/>
          <w:color w:val="0000FF"/>
        </w:rPr>
        <w:t>“云接标辅助工具”（用于上传电子版投标文件）获取方式：请投标人前往“</w:t>
      </w:r>
      <w:r>
        <w:rPr>
          <w:rFonts w:ascii="宋体" w:hAnsi="宋体" w:eastAsia="宋体" w:cs="宋体"/>
          <w:color w:val="0000FF"/>
        </w:rPr>
        <w:t>http://220.194.186.129:18080/</w:t>
      </w:r>
      <w:r>
        <w:rPr>
          <w:rFonts w:hint="eastAsia" w:ascii="宋体" w:hAnsi="宋体" w:eastAsia="宋体" w:cs="宋体"/>
          <w:color w:val="0000FF"/>
        </w:rPr>
        <w:t>”下载“云接标辅助工具”，“云接标辅助工具”功能有调整，如有安装请投标人务必先卸载，再安装最新版“云接标辅助工具”。具体上传操作方式请参照网页操作手册及操作视频。如有问题请联系网页运营支撑人员</w:t>
      </w:r>
      <w:r>
        <w:rPr>
          <w:rFonts w:ascii="宋体" w:hAnsi="宋体" w:eastAsia="宋体" w:cs="宋体"/>
          <w:color w:val="0000FF"/>
        </w:rPr>
        <w:t>:</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color w:val="0000FF"/>
        </w:rPr>
        <w:t>方工：</w:t>
      </w:r>
      <w:r>
        <w:rPr>
          <w:rFonts w:ascii="宋体" w:hAnsi="宋体" w:eastAsia="宋体" w:cs="宋体"/>
          <w:color w:val="0000FF"/>
        </w:rPr>
        <w:t>19035124017</w:t>
      </w:r>
      <w:r>
        <w:rPr>
          <w:rFonts w:hint="eastAsia" w:ascii="宋体" w:hAnsi="宋体" w:eastAsia="宋体" w:cs="宋体"/>
          <w:color w:val="0000FF"/>
        </w:rPr>
        <w:t>；张工：</w:t>
      </w:r>
      <w:r>
        <w:rPr>
          <w:rFonts w:ascii="宋体" w:hAnsi="宋体" w:eastAsia="宋体" w:cs="宋体"/>
          <w:color w:val="0000FF"/>
        </w:rPr>
        <w:t>15135307680</w:t>
      </w:r>
    </w:p>
    <w:p>
      <w:pPr>
        <w:adjustRightInd w:val="0"/>
        <w:snapToGrid w:val="0"/>
        <w:spacing w:beforeLines="100" w:afterLines="50"/>
        <w:outlineLvl w:val="1"/>
        <w:rPr>
          <w:rFonts w:ascii="黑体" w:hAnsi="Calibri" w:eastAsia="黑体"/>
          <w:b/>
          <w:sz w:val="24"/>
        </w:rPr>
      </w:pPr>
      <w:bookmarkStart w:id="97" w:name="_bookmark6"/>
      <w:bookmarkEnd w:id="97"/>
      <w:bookmarkStart w:id="98" w:name="_Toc27799"/>
      <w:bookmarkStart w:id="99" w:name="_Toc62221759"/>
      <w:bookmarkStart w:id="100" w:name="_Toc9876"/>
      <w:bookmarkStart w:id="101" w:name="_Toc62221468"/>
      <w:bookmarkStart w:id="102" w:name="_Toc21329"/>
      <w:bookmarkStart w:id="103" w:name="_Toc62222027"/>
      <w:bookmarkStart w:id="104" w:name="_Toc4187"/>
      <w:bookmarkStart w:id="105" w:name="_Toc62222575"/>
      <w:bookmarkStart w:id="106" w:name="_Toc1043"/>
      <w:bookmarkStart w:id="107" w:name="_Toc1152"/>
      <w:bookmarkStart w:id="108" w:name="_Toc16643"/>
      <w:bookmarkStart w:id="109" w:name="_Toc3269"/>
      <w:bookmarkStart w:id="110" w:name="_Toc62549134"/>
      <w:bookmarkStart w:id="111" w:name="_Toc62549190"/>
      <w:bookmarkStart w:id="112" w:name="_Toc28817"/>
      <w:bookmarkStart w:id="113" w:name="_Toc2608"/>
      <w:r>
        <w:rPr>
          <w:rFonts w:ascii="黑体" w:hAnsi="Calibri" w:eastAsia="黑体"/>
          <w:b/>
          <w:sz w:val="24"/>
        </w:rPr>
        <w:t>5.</w:t>
      </w:r>
      <w:r>
        <w:rPr>
          <w:rFonts w:hint="eastAsia" w:ascii="黑体" w:hAnsi="Calibri" w:eastAsia="黑体"/>
          <w:b/>
          <w:sz w:val="24"/>
        </w:rPr>
        <w:t>投标文件的</w:t>
      </w:r>
      <w:bookmarkEnd w:id="98"/>
      <w:bookmarkEnd w:id="99"/>
      <w:bookmarkEnd w:id="100"/>
      <w:bookmarkEnd w:id="101"/>
      <w:bookmarkEnd w:id="102"/>
      <w:bookmarkEnd w:id="103"/>
      <w:bookmarkEnd w:id="104"/>
      <w:bookmarkEnd w:id="105"/>
      <w:r>
        <w:rPr>
          <w:rFonts w:hint="eastAsia" w:ascii="黑体" w:hAnsi="Calibri" w:eastAsia="黑体"/>
          <w:b/>
          <w:sz w:val="24"/>
        </w:rPr>
        <w:t>提交</w:t>
      </w:r>
      <w:bookmarkEnd w:id="106"/>
      <w:bookmarkEnd w:id="107"/>
      <w:bookmarkEnd w:id="108"/>
      <w:bookmarkEnd w:id="109"/>
      <w:bookmarkEnd w:id="110"/>
      <w:bookmarkEnd w:id="111"/>
      <w:bookmarkEnd w:id="112"/>
      <w:bookmarkEnd w:id="113"/>
    </w:p>
    <w:p>
      <w:pPr>
        <w:tabs>
          <w:tab w:val="left" w:pos="1200"/>
          <w:tab w:val="left" w:pos="3112"/>
          <w:tab w:val="left" w:pos="4600"/>
        </w:tabs>
        <w:spacing w:line="400" w:lineRule="exact"/>
        <w:ind w:firstLine="420" w:firstLineChars="200"/>
        <w:rPr>
          <w:rFonts w:ascii="宋体" w:hAnsi="宋体" w:eastAsia="宋体" w:cs="宋体"/>
          <w:spacing w:val="7"/>
        </w:rPr>
      </w:pPr>
      <w:bookmarkStart w:id="114" w:name="_bookmark7"/>
      <w:bookmarkEnd w:id="114"/>
      <w:r>
        <w:rPr>
          <w:rFonts w:ascii="宋体" w:hAnsi="宋体" w:eastAsia="宋体" w:cs="宋体"/>
        </w:rPr>
        <w:t xml:space="preserve">5.1 </w:t>
      </w:r>
      <w:r>
        <w:rPr>
          <w:rFonts w:hint="eastAsia" w:ascii="宋体" w:hAnsi="宋体" w:eastAsia="宋体" w:cs="宋体"/>
          <w:b/>
          <w:spacing w:val="7"/>
        </w:rPr>
        <w:t>投标文件提交的截止时间（投标截止时间</w:t>
      </w:r>
      <w:r>
        <w:rPr>
          <w:rFonts w:hint="eastAsia" w:ascii="宋体" w:hAnsi="宋体" w:eastAsia="宋体" w:cs="宋体"/>
          <w:b/>
          <w:color w:val="00B0F0"/>
          <w:spacing w:val="7"/>
        </w:rPr>
        <w:t>（同开标时间）</w:t>
      </w:r>
      <w:r>
        <w:rPr>
          <w:rFonts w:hint="eastAsia" w:ascii="宋体" w:hAnsi="宋体" w:eastAsia="宋体" w:cs="宋体"/>
          <w:b/>
          <w:spacing w:val="7"/>
        </w:rPr>
        <w:t>，下同）为</w:t>
      </w:r>
      <w:r>
        <w:rPr>
          <w:rFonts w:ascii="宋体" w:hAnsi="宋体" w:eastAsia="宋体" w:cs="宋体"/>
          <w:b/>
          <w:spacing w:val="7"/>
          <w:highlight w:val="yellow"/>
        </w:rPr>
        <w:t>202</w:t>
      </w:r>
      <w:r>
        <w:rPr>
          <w:rFonts w:hint="eastAsia" w:ascii="宋体" w:hAnsi="宋体" w:eastAsia="宋体" w:cs="宋体"/>
          <w:b/>
          <w:spacing w:val="7"/>
          <w:highlight w:val="yellow"/>
          <w:lang w:val="en-US" w:eastAsia="zh-CN"/>
        </w:rPr>
        <w:t>6</w:t>
      </w:r>
      <w:r>
        <w:rPr>
          <w:rFonts w:hint="eastAsia" w:ascii="宋体" w:hAnsi="宋体" w:eastAsia="宋体" w:cs="宋体"/>
          <w:bCs/>
          <w:spacing w:val="7"/>
          <w:highlight w:val="yellow"/>
        </w:rPr>
        <w:t>年</w:t>
      </w:r>
      <w:r>
        <w:rPr>
          <w:rFonts w:hint="eastAsia" w:ascii="宋体" w:hAnsi="宋体" w:eastAsia="宋体" w:cs="宋体"/>
          <w:bCs/>
          <w:spacing w:val="7"/>
          <w:highlight w:val="yellow"/>
          <w:lang w:val="en-US" w:eastAsia="zh-CN"/>
        </w:rPr>
        <w:t>5月25日9</w:t>
      </w:r>
      <w:r>
        <w:rPr>
          <w:rFonts w:ascii="宋体" w:hAnsi="宋体" w:eastAsia="宋体" w:cs="宋体"/>
          <w:bCs/>
          <w:spacing w:val="7"/>
          <w:highlight w:val="yellow"/>
        </w:rPr>
        <w:t>:00</w:t>
      </w:r>
      <w:r>
        <w:rPr>
          <w:rFonts w:hint="eastAsia" w:ascii="宋体" w:hAnsi="宋体" w:eastAsia="宋体" w:cs="宋体"/>
          <w:bCs/>
          <w:spacing w:val="7"/>
          <w:highlight w:val="yellow"/>
        </w:rPr>
        <w:t>时</w:t>
      </w:r>
      <w:r>
        <w:rPr>
          <w:rFonts w:hint="eastAsia" w:ascii="宋体" w:hAnsi="宋体" w:eastAsia="宋体" w:cs="宋体"/>
          <w:b/>
          <w:spacing w:val="7"/>
        </w:rPr>
        <w:t>（北京时间）。</w:t>
      </w:r>
    </w:p>
    <w:p>
      <w:pPr>
        <w:adjustRightInd w:val="0"/>
        <w:snapToGrid w:val="0"/>
        <w:spacing w:line="400" w:lineRule="exact"/>
        <w:ind w:firstLine="422" w:firstLineChars="200"/>
        <w:rPr>
          <w:rFonts w:ascii="宋体" w:hAnsi="宋体" w:eastAsia="宋体" w:cs="宋体"/>
        </w:rPr>
      </w:pPr>
      <w:r>
        <w:rPr>
          <w:rFonts w:hint="eastAsia" w:ascii="宋体" w:hAnsi="宋体" w:eastAsia="宋体" w:cs="宋体"/>
          <w:b/>
        </w:rPr>
        <w:t>投标文件提交时间：</w:t>
      </w:r>
      <w:r>
        <w:rPr>
          <w:rFonts w:hint="eastAsia" w:ascii="宋体" w:hAnsi="宋体" w:eastAsia="宋体" w:cs="宋体"/>
        </w:rPr>
        <w:t>所有投标文件应当在投标截止时间前递交（提交）招标人。</w:t>
      </w:r>
    </w:p>
    <w:p>
      <w:pPr>
        <w:adjustRightInd w:val="0"/>
        <w:snapToGrid w:val="0"/>
        <w:spacing w:line="400" w:lineRule="exact"/>
        <w:ind w:firstLine="422" w:firstLineChars="200"/>
        <w:rPr>
          <w:rFonts w:ascii="宋体" w:hAnsi="宋体" w:eastAsia="宋体" w:cs="宋体"/>
          <w:b/>
        </w:rPr>
      </w:pPr>
      <w:r>
        <w:rPr>
          <w:rFonts w:hint="eastAsia" w:ascii="宋体" w:hAnsi="宋体" w:eastAsia="宋体" w:cs="宋体"/>
          <w:b/>
        </w:rPr>
        <w:t>投标文件提交地点：</w:t>
      </w:r>
      <w:r>
        <w:rPr>
          <w:rFonts w:hint="eastAsia" w:ascii="宋体" w:hAnsi="宋体" w:eastAsia="宋体" w:cs="宋体"/>
        </w:rPr>
        <w:t>电子投标文件提交招标人招投标交易平台信息系统。</w:t>
      </w:r>
    </w:p>
    <w:p>
      <w:pPr>
        <w:adjustRightInd w:val="0"/>
        <w:snapToGrid w:val="0"/>
        <w:spacing w:line="400" w:lineRule="exact"/>
        <w:ind w:firstLine="422" w:firstLineChars="200"/>
        <w:rPr>
          <w:rFonts w:ascii="宋体" w:hAnsi="宋体" w:eastAsia="宋体" w:cs="宋体"/>
          <w:b/>
        </w:rPr>
      </w:pPr>
      <w:r>
        <w:rPr>
          <w:rFonts w:hint="eastAsia" w:ascii="宋体" w:hAnsi="宋体" w:eastAsia="宋体" w:cs="宋体"/>
          <w:b/>
        </w:rPr>
        <w:t>电子投标文件递交方式详见第六章投标文件格式。</w:t>
      </w:r>
    </w:p>
    <w:p>
      <w:pPr>
        <w:tabs>
          <w:tab w:val="left" w:pos="1134"/>
        </w:tabs>
        <w:adjustRightInd w:val="0"/>
        <w:snapToGrid w:val="0"/>
        <w:spacing w:line="400" w:lineRule="exact"/>
        <w:ind w:firstLine="420" w:firstLineChars="200"/>
        <w:rPr>
          <w:rFonts w:ascii="宋体" w:hAnsi="宋体" w:eastAsia="宋体" w:cs="宋体"/>
          <w:color w:val="0000FF"/>
        </w:rPr>
      </w:pPr>
      <w:r>
        <w:rPr>
          <w:rFonts w:ascii="宋体" w:hAnsi="宋体" w:eastAsia="宋体" w:cs="宋体"/>
          <w:color w:val="0000FF"/>
        </w:rPr>
        <w:t xml:space="preserve">5.2 </w:t>
      </w:r>
      <w:r>
        <w:rPr>
          <w:rFonts w:hint="eastAsia" w:ascii="宋体" w:hAnsi="宋体" w:eastAsia="宋体" w:cs="宋体"/>
          <w:color w:val="0000FF"/>
        </w:rPr>
        <w:t>投标文件的组成、编制、上传要求等。</w:t>
      </w:r>
    </w:p>
    <w:p>
      <w:pPr>
        <w:tabs>
          <w:tab w:val="left" w:pos="1134"/>
        </w:tabs>
        <w:adjustRightInd w:val="0"/>
        <w:snapToGrid w:val="0"/>
        <w:spacing w:line="400" w:lineRule="exact"/>
        <w:ind w:firstLine="420" w:firstLineChars="200"/>
        <w:rPr>
          <w:rFonts w:ascii="宋体" w:hAnsi="宋体" w:eastAsia="宋体" w:cs="宋体"/>
          <w:color w:val="0000FF"/>
        </w:rPr>
      </w:pPr>
      <w:r>
        <w:rPr>
          <w:rFonts w:hint="eastAsia" w:ascii="宋体" w:hAnsi="宋体" w:eastAsia="宋体" w:cs="宋体"/>
          <w:color w:val="0000FF"/>
        </w:rPr>
        <w:t>商务文件包含：商务投标文件、“招标采购辅助工具”制作生成的压缩包（商务）。</w:t>
      </w:r>
    </w:p>
    <w:p>
      <w:pPr>
        <w:tabs>
          <w:tab w:val="left" w:pos="1134"/>
        </w:tabs>
        <w:adjustRightInd w:val="0"/>
        <w:snapToGrid w:val="0"/>
        <w:spacing w:line="400" w:lineRule="exact"/>
        <w:ind w:firstLine="420" w:firstLineChars="200"/>
        <w:rPr>
          <w:rFonts w:hint="eastAsia" w:ascii="宋体" w:hAnsi="宋体" w:eastAsia="宋体" w:cs="宋体"/>
          <w:color w:val="0000FF"/>
          <w:lang w:eastAsia="zh-CN"/>
        </w:rPr>
      </w:pPr>
      <w:r>
        <w:rPr>
          <w:rFonts w:hint="eastAsia" w:ascii="宋体" w:hAnsi="宋体" w:eastAsia="宋体" w:cs="宋体"/>
          <w:color w:val="0000FF"/>
        </w:rPr>
        <w:t>技术文件包含：技术投标文件、“招标采购辅助工具”制作生成的压缩包（技术）</w:t>
      </w:r>
      <w:r>
        <w:rPr>
          <w:rFonts w:hint="eastAsia" w:ascii="宋体" w:hAnsi="宋体" w:eastAsia="宋体" w:cs="宋体"/>
          <w:color w:val="0000FF"/>
          <w:lang w:eastAsia="zh-CN"/>
        </w:rPr>
        <w:t>。</w:t>
      </w:r>
    </w:p>
    <w:tbl>
      <w:tblPr>
        <w:tblStyle w:val="18"/>
        <w:tblpPr w:leftFromText="180" w:rightFromText="180" w:vertAnchor="text" w:horzAnchor="page" w:tblpX="1437" w:tblpY="384"/>
        <w:tblOverlap w:val="never"/>
        <w:tblW w:w="92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9"/>
        <w:gridCol w:w="1994"/>
        <w:gridCol w:w="4205"/>
        <w:gridCol w:w="26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 w:type="dxa"/>
            <w:vAlign w:val="center"/>
          </w:tcPr>
          <w:p>
            <w:pPr>
              <w:widowControl/>
              <w:spacing w:beforeLines="50" w:afterLines="50"/>
              <w:jc w:val="center"/>
              <w:textAlignment w:val="center"/>
              <w:rPr>
                <w:rFonts w:hint="eastAsia" w:asciiTheme="minorEastAsia" w:hAnsiTheme="minorEastAsia" w:eastAsiaTheme="minorEastAsia" w:cstheme="minorEastAsia"/>
                <w:b/>
                <w:kern w:val="0"/>
                <w:sz w:val="20"/>
                <w:szCs w:val="20"/>
              </w:rPr>
            </w:pPr>
            <w:r>
              <w:rPr>
                <w:rFonts w:hint="eastAsia" w:asciiTheme="minorEastAsia" w:hAnsiTheme="minorEastAsia" w:eastAsiaTheme="minorEastAsia" w:cstheme="minorEastAsia"/>
                <w:b/>
                <w:kern w:val="0"/>
                <w:sz w:val="20"/>
                <w:szCs w:val="20"/>
              </w:rPr>
              <w:t>序号</w:t>
            </w:r>
          </w:p>
        </w:tc>
        <w:tc>
          <w:tcPr>
            <w:tcW w:w="1994" w:type="dxa"/>
            <w:vAlign w:val="center"/>
          </w:tcPr>
          <w:p>
            <w:pPr>
              <w:widowControl/>
              <w:spacing w:beforeLines="50" w:afterLines="50"/>
              <w:jc w:val="center"/>
              <w:textAlignment w:val="center"/>
              <w:rPr>
                <w:rFonts w:hint="eastAsia" w:asciiTheme="minorEastAsia" w:hAnsiTheme="minorEastAsia" w:eastAsiaTheme="minorEastAsia" w:cstheme="minorEastAsia"/>
                <w:b/>
                <w:kern w:val="0"/>
                <w:sz w:val="20"/>
                <w:szCs w:val="20"/>
              </w:rPr>
            </w:pPr>
            <w:r>
              <w:rPr>
                <w:rFonts w:hint="eastAsia" w:asciiTheme="minorEastAsia" w:hAnsiTheme="minorEastAsia" w:eastAsiaTheme="minorEastAsia" w:cstheme="minorEastAsia"/>
                <w:b/>
                <w:kern w:val="0"/>
                <w:sz w:val="20"/>
                <w:szCs w:val="20"/>
              </w:rPr>
              <w:t>文件名称</w:t>
            </w:r>
          </w:p>
        </w:tc>
        <w:tc>
          <w:tcPr>
            <w:tcW w:w="4205" w:type="dxa"/>
            <w:vAlign w:val="center"/>
          </w:tcPr>
          <w:p>
            <w:pPr>
              <w:widowControl/>
              <w:spacing w:beforeLines="50" w:afterLines="50"/>
              <w:jc w:val="center"/>
              <w:textAlignment w:val="center"/>
              <w:rPr>
                <w:rFonts w:hint="eastAsia" w:asciiTheme="minorEastAsia" w:hAnsiTheme="minorEastAsia" w:eastAsiaTheme="minorEastAsia" w:cstheme="minorEastAsia"/>
                <w:b/>
                <w:kern w:val="0"/>
                <w:sz w:val="20"/>
                <w:szCs w:val="20"/>
              </w:rPr>
            </w:pPr>
            <w:r>
              <w:rPr>
                <w:rFonts w:hint="eastAsia" w:asciiTheme="minorEastAsia" w:hAnsiTheme="minorEastAsia" w:eastAsiaTheme="minorEastAsia" w:cstheme="minorEastAsia"/>
                <w:b/>
                <w:kern w:val="0"/>
                <w:sz w:val="20"/>
                <w:szCs w:val="20"/>
              </w:rPr>
              <w:t>文件生成（制作）要求</w:t>
            </w:r>
          </w:p>
        </w:tc>
        <w:tc>
          <w:tcPr>
            <w:tcW w:w="2634" w:type="dxa"/>
            <w:vAlign w:val="center"/>
          </w:tcPr>
          <w:p>
            <w:pPr>
              <w:widowControl/>
              <w:spacing w:beforeLines="50" w:afterLines="50"/>
              <w:jc w:val="center"/>
              <w:textAlignment w:val="center"/>
              <w:rPr>
                <w:rFonts w:hint="eastAsia" w:asciiTheme="minorEastAsia" w:hAnsiTheme="minorEastAsia" w:eastAsiaTheme="minorEastAsia" w:cstheme="minorEastAsia"/>
                <w:b/>
                <w:kern w:val="0"/>
                <w:sz w:val="20"/>
                <w:szCs w:val="20"/>
              </w:rPr>
            </w:pPr>
            <w:r>
              <w:rPr>
                <w:rFonts w:hint="eastAsia" w:asciiTheme="minorEastAsia" w:hAnsiTheme="minorEastAsia" w:eastAsiaTheme="minorEastAsia" w:cstheme="minorEastAsia"/>
                <w:b/>
                <w:kern w:val="0"/>
                <w:sz w:val="20"/>
                <w:szCs w:val="20"/>
              </w:rPr>
              <w:t>文件上传（提交）要求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409"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1</w:t>
            </w:r>
          </w:p>
        </w:tc>
        <w:tc>
          <w:tcPr>
            <w:tcW w:w="199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价格文件</w:t>
            </w:r>
          </w:p>
        </w:tc>
        <w:tc>
          <w:tcPr>
            <w:tcW w:w="4205"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电子版，按照新一代电子商务平台供应商投标工具要求制作生成。</w:t>
            </w:r>
          </w:p>
        </w:tc>
        <w:tc>
          <w:tcPr>
            <w:tcW w:w="263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上传至“国家电网有限公司新一代电子商务平台”。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09"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lang w:eastAsia="zh-CN"/>
              </w:rPr>
            </w:pPr>
            <w:r>
              <w:rPr>
                <w:rFonts w:hint="eastAsia" w:asciiTheme="minorEastAsia" w:hAnsiTheme="minorEastAsia" w:eastAsiaTheme="minorEastAsia" w:cstheme="minorEastAsia"/>
                <w:bCs/>
                <w:kern w:val="0"/>
                <w:sz w:val="20"/>
                <w:szCs w:val="20"/>
                <w:lang w:val="en-US" w:eastAsia="zh-CN"/>
              </w:rPr>
              <w:t>2</w:t>
            </w:r>
          </w:p>
        </w:tc>
        <w:tc>
          <w:tcPr>
            <w:tcW w:w="199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rPr>
            </w:pPr>
            <w:r>
              <w:rPr>
                <w:rFonts w:hint="eastAsia" w:asciiTheme="minorEastAsia" w:hAnsiTheme="minorEastAsia" w:eastAsiaTheme="minorEastAsia" w:cstheme="minorEastAsia"/>
                <w:bCs/>
                <w:kern w:val="0"/>
                <w:sz w:val="20"/>
                <w:szCs w:val="20"/>
                <w:highlight w:val="none"/>
              </w:rPr>
              <w:t>商务</w:t>
            </w:r>
            <w:r>
              <w:rPr>
                <w:rFonts w:hint="eastAsia" w:asciiTheme="minorEastAsia" w:hAnsiTheme="minorEastAsia" w:eastAsiaTheme="minorEastAsia" w:cstheme="minorEastAsia"/>
                <w:bCs/>
                <w:kern w:val="0"/>
                <w:sz w:val="20"/>
                <w:szCs w:val="20"/>
                <w:highlight w:val="none"/>
                <w:lang w:val="en-US" w:eastAsia="zh-CN"/>
              </w:rPr>
              <w:t>投标</w:t>
            </w:r>
            <w:r>
              <w:rPr>
                <w:rFonts w:hint="eastAsia" w:asciiTheme="minorEastAsia" w:hAnsiTheme="minorEastAsia" w:eastAsiaTheme="minorEastAsia" w:cstheme="minorEastAsia"/>
                <w:bCs/>
                <w:kern w:val="0"/>
                <w:sz w:val="20"/>
                <w:szCs w:val="20"/>
                <w:highlight w:val="none"/>
              </w:rPr>
              <w:t>文件</w:t>
            </w:r>
          </w:p>
        </w:tc>
        <w:tc>
          <w:tcPr>
            <w:tcW w:w="4205"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rPr>
            </w:pPr>
            <w:r>
              <w:rPr>
                <w:rFonts w:hint="eastAsia" w:asciiTheme="minorEastAsia" w:hAnsiTheme="minorEastAsia" w:eastAsiaTheme="minorEastAsia" w:cstheme="minorEastAsia"/>
                <w:bCs/>
                <w:kern w:val="0"/>
                <w:sz w:val="20"/>
                <w:szCs w:val="20"/>
                <w:highlight w:val="none"/>
              </w:rPr>
              <w:t>按照投标文件格式要求，以“投标人”为单位进行制作，每个投标人只制作1份商务</w:t>
            </w:r>
            <w:r>
              <w:rPr>
                <w:rFonts w:hint="eastAsia" w:asciiTheme="minorEastAsia" w:hAnsiTheme="minorEastAsia" w:eastAsiaTheme="minorEastAsia" w:cstheme="minorEastAsia"/>
                <w:bCs/>
                <w:kern w:val="0"/>
                <w:sz w:val="20"/>
                <w:szCs w:val="20"/>
                <w:highlight w:val="none"/>
                <w:lang w:val="en-US" w:eastAsia="zh-CN"/>
              </w:rPr>
              <w:t>投标</w:t>
            </w:r>
            <w:r>
              <w:rPr>
                <w:rFonts w:hint="eastAsia" w:asciiTheme="minorEastAsia" w:hAnsiTheme="minorEastAsia" w:eastAsiaTheme="minorEastAsia" w:cstheme="minorEastAsia"/>
                <w:bCs/>
                <w:kern w:val="0"/>
                <w:sz w:val="20"/>
                <w:szCs w:val="20"/>
                <w:highlight w:val="none"/>
              </w:rPr>
              <w:t>文件，内容应涵盖所投全部包的商务文件。</w:t>
            </w:r>
          </w:p>
        </w:tc>
        <w:tc>
          <w:tcPr>
            <w:tcW w:w="263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按“投标人”上传至“云接标辅助工具”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lang w:eastAsia="zh-CN"/>
              </w:rPr>
            </w:pPr>
            <w:r>
              <w:rPr>
                <w:rFonts w:hint="eastAsia" w:asciiTheme="minorEastAsia" w:hAnsiTheme="minorEastAsia" w:eastAsiaTheme="minorEastAsia" w:cstheme="minorEastAsia"/>
                <w:bCs/>
                <w:kern w:val="0"/>
                <w:sz w:val="20"/>
                <w:szCs w:val="20"/>
                <w:lang w:val="en-US" w:eastAsia="zh-CN"/>
              </w:rPr>
              <w:t>3</w:t>
            </w:r>
          </w:p>
        </w:tc>
        <w:tc>
          <w:tcPr>
            <w:tcW w:w="199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rPr>
            </w:pPr>
            <w:r>
              <w:rPr>
                <w:rFonts w:hint="eastAsia" w:asciiTheme="minorEastAsia" w:hAnsiTheme="minorEastAsia" w:eastAsiaTheme="minorEastAsia" w:cstheme="minorEastAsia"/>
                <w:bCs/>
                <w:kern w:val="0"/>
                <w:sz w:val="20"/>
                <w:szCs w:val="20"/>
                <w:highlight w:val="none"/>
              </w:rPr>
              <w:t>技术</w:t>
            </w:r>
            <w:r>
              <w:rPr>
                <w:rFonts w:hint="eastAsia" w:asciiTheme="minorEastAsia" w:hAnsiTheme="minorEastAsia" w:eastAsiaTheme="minorEastAsia" w:cstheme="minorEastAsia"/>
                <w:bCs/>
                <w:kern w:val="0"/>
                <w:sz w:val="20"/>
                <w:szCs w:val="20"/>
                <w:highlight w:val="none"/>
                <w:lang w:val="en-US" w:eastAsia="zh-CN"/>
              </w:rPr>
              <w:t>投标</w:t>
            </w:r>
            <w:r>
              <w:rPr>
                <w:rFonts w:hint="eastAsia" w:asciiTheme="minorEastAsia" w:hAnsiTheme="minorEastAsia" w:eastAsiaTheme="minorEastAsia" w:cstheme="minorEastAsia"/>
                <w:bCs/>
                <w:kern w:val="0"/>
                <w:sz w:val="20"/>
                <w:szCs w:val="20"/>
                <w:highlight w:val="none"/>
              </w:rPr>
              <w:t>文件</w:t>
            </w:r>
          </w:p>
        </w:tc>
        <w:tc>
          <w:tcPr>
            <w:tcW w:w="4205"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rPr>
            </w:pPr>
            <w:r>
              <w:rPr>
                <w:rFonts w:hint="eastAsia" w:asciiTheme="minorEastAsia" w:hAnsiTheme="minorEastAsia" w:eastAsiaTheme="minorEastAsia" w:cstheme="minorEastAsia"/>
                <w:bCs/>
                <w:kern w:val="0"/>
                <w:sz w:val="20"/>
                <w:szCs w:val="20"/>
                <w:highlight w:val="none"/>
              </w:rPr>
              <w:t>按照投标文件格式要求，以“分标”为单位进行制作，即投标人应上传与所投“分标”数量相同的技术</w:t>
            </w:r>
            <w:r>
              <w:rPr>
                <w:rFonts w:hint="eastAsia" w:asciiTheme="minorEastAsia" w:hAnsiTheme="minorEastAsia" w:eastAsiaTheme="minorEastAsia" w:cstheme="minorEastAsia"/>
                <w:bCs/>
                <w:kern w:val="0"/>
                <w:sz w:val="20"/>
                <w:szCs w:val="20"/>
                <w:highlight w:val="none"/>
                <w:lang w:val="en-US" w:eastAsia="zh-CN"/>
              </w:rPr>
              <w:t>投标</w:t>
            </w:r>
            <w:r>
              <w:rPr>
                <w:rFonts w:hint="eastAsia" w:asciiTheme="minorEastAsia" w:hAnsiTheme="minorEastAsia" w:eastAsiaTheme="minorEastAsia" w:cstheme="minorEastAsia"/>
                <w:bCs/>
                <w:kern w:val="0"/>
                <w:sz w:val="20"/>
                <w:szCs w:val="20"/>
                <w:highlight w:val="none"/>
              </w:rPr>
              <w:t>文件，内容应涵盖所投分标下全部包的技术文件。</w:t>
            </w:r>
          </w:p>
        </w:tc>
        <w:tc>
          <w:tcPr>
            <w:tcW w:w="263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按“分标”上传至“云接标辅助工具”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lang w:eastAsia="zh-CN"/>
              </w:rPr>
            </w:pPr>
            <w:r>
              <w:rPr>
                <w:rFonts w:hint="eastAsia" w:asciiTheme="minorEastAsia" w:hAnsiTheme="minorEastAsia" w:eastAsiaTheme="minorEastAsia" w:cstheme="minorEastAsia"/>
                <w:bCs/>
                <w:kern w:val="0"/>
                <w:sz w:val="20"/>
                <w:szCs w:val="20"/>
                <w:lang w:val="en-US" w:eastAsia="zh-CN"/>
              </w:rPr>
              <w:t>4</w:t>
            </w:r>
          </w:p>
        </w:tc>
        <w:tc>
          <w:tcPr>
            <w:tcW w:w="199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rPr>
            </w:pPr>
            <w:r>
              <w:rPr>
                <w:rFonts w:hint="eastAsia" w:asciiTheme="minorEastAsia" w:hAnsiTheme="minorEastAsia" w:eastAsiaTheme="minorEastAsia" w:cstheme="minorEastAsia"/>
                <w:bCs/>
                <w:kern w:val="0"/>
                <w:sz w:val="20"/>
                <w:szCs w:val="20"/>
                <w:highlight w:val="none"/>
              </w:rPr>
              <w:t>“</w:t>
            </w:r>
            <w:r>
              <w:rPr>
                <w:rFonts w:hint="eastAsia" w:asciiTheme="minorEastAsia" w:hAnsiTheme="minorEastAsia" w:eastAsiaTheme="minorEastAsia" w:cstheme="minorEastAsia"/>
                <w:bCs/>
                <w:kern w:val="0"/>
                <w:sz w:val="20"/>
                <w:szCs w:val="20"/>
                <w:highlight w:val="none"/>
                <w:lang w:val="en-US" w:eastAsia="zh-CN"/>
              </w:rPr>
              <w:t>配网类</w:t>
            </w:r>
            <w:r>
              <w:rPr>
                <w:rFonts w:hint="eastAsia" w:asciiTheme="minorEastAsia" w:hAnsiTheme="minorEastAsia" w:eastAsiaTheme="minorEastAsia" w:cstheme="minorEastAsia"/>
                <w:bCs/>
                <w:kern w:val="0"/>
                <w:sz w:val="20"/>
                <w:szCs w:val="20"/>
                <w:highlight w:val="none"/>
              </w:rPr>
              <w:t>招标采购辅助工具”制作生成的压缩包（商务）</w:t>
            </w:r>
          </w:p>
        </w:tc>
        <w:tc>
          <w:tcPr>
            <w:tcW w:w="4205"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rPr>
            </w:pPr>
            <w:r>
              <w:rPr>
                <w:rFonts w:hint="eastAsia" w:asciiTheme="minorEastAsia" w:hAnsiTheme="minorEastAsia" w:eastAsiaTheme="minorEastAsia" w:cstheme="minorEastAsia"/>
                <w:bCs/>
                <w:kern w:val="0"/>
                <w:sz w:val="20"/>
                <w:szCs w:val="20"/>
                <w:highlight w:val="none"/>
              </w:rPr>
              <w:t>以“投标人”为单位</w:t>
            </w:r>
            <w:r>
              <w:rPr>
                <w:rFonts w:hint="eastAsia" w:asciiTheme="minorEastAsia" w:hAnsiTheme="minorEastAsia" w:eastAsiaTheme="minorEastAsia" w:cstheme="minorEastAsia"/>
                <w:bCs/>
                <w:kern w:val="0"/>
                <w:sz w:val="20"/>
                <w:szCs w:val="20"/>
                <w:highlight w:val="none"/>
                <w:lang w:val="en-US" w:eastAsia="zh-CN"/>
              </w:rPr>
              <w:t>按照招标采购辅助工具中的“配网类”涉及标段要求</w:t>
            </w:r>
            <w:r>
              <w:rPr>
                <w:rFonts w:hint="eastAsia" w:asciiTheme="minorEastAsia" w:hAnsiTheme="minorEastAsia" w:eastAsiaTheme="minorEastAsia" w:cstheme="minorEastAsia"/>
                <w:bCs/>
                <w:kern w:val="0"/>
                <w:sz w:val="20"/>
                <w:szCs w:val="20"/>
                <w:highlight w:val="none"/>
              </w:rPr>
              <w:t>进行制作。</w:t>
            </w:r>
          </w:p>
        </w:tc>
        <w:tc>
          <w:tcPr>
            <w:tcW w:w="263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按“投标人”上传至“云接标辅助工具”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lang w:val="en-US" w:eastAsia="zh-CN" w:bidi="ar-SA"/>
              </w:rPr>
            </w:pPr>
            <w:r>
              <w:rPr>
                <w:rFonts w:hint="eastAsia" w:asciiTheme="minorEastAsia" w:hAnsiTheme="minorEastAsia" w:eastAsiaTheme="minorEastAsia" w:cstheme="minorEastAsia"/>
                <w:bCs/>
                <w:kern w:val="0"/>
                <w:sz w:val="20"/>
                <w:szCs w:val="20"/>
                <w:lang w:val="en-US" w:eastAsia="zh-CN"/>
              </w:rPr>
              <w:t>5</w:t>
            </w:r>
          </w:p>
        </w:tc>
        <w:tc>
          <w:tcPr>
            <w:tcW w:w="199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lang w:val="en-US" w:eastAsia="zh-CN" w:bidi="ar-SA"/>
              </w:rPr>
            </w:pPr>
            <w:r>
              <w:rPr>
                <w:rFonts w:hint="eastAsia" w:asciiTheme="minorEastAsia" w:hAnsiTheme="minorEastAsia" w:eastAsiaTheme="minorEastAsia" w:cstheme="minorEastAsia"/>
                <w:bCs/>
                <w:kern w:val="0"/>
                <w:sz w:val="20"/>
                <w:szCs w:val="20"/>
                <w:highlight w:val="none"/>
              </w:rPr>
              <w:t>“</w:t>
            </w:r>
            <w:r>
              <w:rPr>
                <w:rFonts w:hint="eastAsia" w:asciiTheme="minorEastAsia" w:hAnsiTheme="minorEastAsia" w:eastAsiaTheme="minorEastAsia" w:cstheme="minorEastAsia"/>
                <w:bCs/>
                <w:kern w:val="0"/>
                <w:sz w:val="20"/>
                <w:szCs w:val="20"/>
                <w:highlight w:val="none"/>
                <w:lang w:val="en-US" w:eastAsia="zh-CN"/>
              </w:rPr>
              <w:t>批次类</w:t>
            </w:r>
            <w:r>
              <w:rPr>
                <w:rFonts w:hint="eastAsia" w:asciiTheme="minorEastAsia" w:hAnsiTheme="minorEastAsia" w:eastAsiaTheme="minorEastAsia" w:cstheme="minorEastAsia"/>
                <w:bCs/>
                <w:kern w:val="0"/>
                <w:sz w:val="20"/>
                <w:szCs w:val="20"/>
                <w:highlight w:val="none"/>
              </w:rPr>
              <w:t>招标采购辅助工具”制作生成的压缩包（商务）</w:t>
            </w:r>
          </w:p>
        </w:tc>
        <w:tc>
          <w:tcPr>
            <w:tcW w:w="4205"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lang w:val="en-US" w:eastAsia="zh-CN" w:bidi="ar-SA"/>
              </w:rPr>
            </w:pPr>
            <w:r>
              <w:rPr>
                <w:rFonts w:hint="eastAsia" w:asciiTheme="minorEastAsia" w:hAnsiTheme="minorEastAsia" w:eastAsiaTheme="minorEastAsia" w:cstheme="minorEastAsia"/>
                <w:bCs/>
                <w:kern w:val="0"/>
                <w:sz w:val="20"/>
                <w:szCs w:val="20"/>
                <w:highlight w:val="none"/>
              </w:rPr>
              <w:t>以“投标人”为单位</w:t>
            </w:r>
            <w:r>
              <w:rPr>
                <w:rFonts w:hint="eastAsia" w:asciiTheme="minorEastAsia" w:hAnsiTheme="minorEastAsia" w:eastAsiaTheme="minorEastAsia" w:cstheme="minorEastAsia"/>
                <w:bCs/>
                <w:kern w:val="0"/>
                <w:sz w:val="20"/>
                <w:szCs w:val="20"/>
                <w:highlight w:val="none"/>
                <w:lang w:val="en-US" w:eastAsia="zh-CN"/>
              </w:rPr>
              <w:t>按照招标采购辅助工具中的“批次类”涉及标段要求</w:t>
            </w:r>
            <w:r>
              <w:rPr>
                <w:rFonts w:hint="eastAsia" w:asciiTheme="minorEastAsia" w:hAnsiTheme="minorEastAsia" w:eastAsiaTheme="minorEastAsia" w:cstheme="minorEastAsia"/>
                <w:bCs/>
                <w:kern w:val="0"/>
                <w:sz w:val="20"/>
                <w:szCs w:val="20"/>
                <w:highlight w:val="none"/>
              </w:rPr>
              <w:t>进行制作。</w:t>
            </w:r>
          </w:p>
        </w:tc>
        <w:tc>
          <w:tcPr>
            <w:tcW w:w="263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lang w:val="en-US" w:eastAsia="zh-CN" w:bidi="ar-SA"/>
              </w:rPr>
            </w:pPr>
            <w:r>
              <w:rPr>
                <w:rFonts w:hint="eastAsia" w:asciiTheme="minorEastAsia" w:hAnsiTheme="minorEastAsia" w:eastAsiaTheme="minorEastAsia" w:cstheme="minorEastAsia"/>
                <w:bCs/>
                <w:kern w:val="0"/>
                <w:sz w:val="20"/>
                <w:szCs w:val="20"/>
              </w:rPr>
              <w:t>按“投标人”上传至“云接标辅助工具”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lang w:eastAsia="zh-CN"/>
              </w:rPr>
            </w:pPr>
            <w:r>
              <w:rPr>
                <w:rFonts w:hint="eastAsia" w:asciiTheme="minorEastAsia" w:hAnsiTheme="minorEastAsia" w:eastAsiaTheme="minorEastAsia" w:cstheme="minorEastAsia"/>
                <w:bCs/>
                <w:kern w:val="0"/>
                <w:sz w:val="20"/>
                <w:szCs w:val="20"/>
                <w:lang w:val="en-US" w:eastAsia="zh-CN"/>
              </w:rPr>
              <w:t>6</w:t>
            </w:r>
          </w:p>
        </w:tc>
        <w:tc>
          <w:tcPr>
            <w:tcW w:w="199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“招标采购辅助工具”制作生成的压缩包（技术）</w:t>
            </w:r>
          </w:p>
        </w:tc>
        <w:tc>
          <w:tcPr>
            <w:tcW w:w="4205"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以“分标”为单位进行制作，业绩合同及发票信息必须在“招标采购辅助工具”中编制。</w:t>
            </w:r>
          </w:p>
        </w:tc>
        <w:tc>
          <w:tcPr>
            <w:tcW w:w="263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按“分标”上传至“云接标辅助工具”</w:t>
            </w:r>
          </w:p>
        </w:tc>
      </w:tr>
    </w:tbl>
    <w:p>
      <w:pPr>
        <w:pStyle w:val="2"/>
        <w:rPr>
          <w:lang w:val="en-US"/>
        </w:rPr>
      </w:pPr>
    </w:p>
    <w:p>
      <w:pPr>
        <w:pStyle w:val="2"/>
        <w:keepNext w:val="0"/>
        <w:keepLines w:val="0"/>
        <w:pageBreakBefore w:val="0"/>
        <w:widowControl w:val="0"/>
        <w:kinsoku/>
        <w:wordWrap/>
        <w:overflowPunct/>
        <w:topLinePunct w:val="0"/>
        <w:bidi w:val="0"/>
        <w:adjustRightInd/>
        <w:snapToGrid/>
        <w:spacing w:line="400" w:lineRule="exact"/>
        <w:ind w:left="0" w:firstLineChars="200"/>
        <w:jc w:val="both"/>
        <w:textAlignment w:val="auto"/>
        <w:rPr>
          <w:rFonts w:hint="default"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注：1、价格文件以上传至电子商务平台的为准，商务、技术投标文件以上传至“云接标辅助工具”的为准。</w:t>
      </w:r>
    </w:p>
    <w:p>
      <w:pPr>
        <w:pStyle w:val="5"/>
        <w:keepNext w:val="0"/>
        <w:keepLines w:val="0"/>
        <w:pageBreakBefore w:val="0"/>
        <w:widowControl w:val="0"/>
        <w:kinsoku/>
        <w:wordWrap/>
        <w:overflowPunct/>
        <w:topLinePunct w:val="0"/>
        <w:bidi w:val="0"/>
        <w:adjustRightInd/>
        <w:snapToGrid/>
        <w:spacing w:line="400" w:lineRule="exact"/>
        <w:jc w:val="both"/>
        <w:textAlignment w:val="auto"/>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2、投标人应保证“招标采购辅助工具”制作生成的压缩包内容与“云接标辅助工具”上传的商务PDF投标文件、技术PDF投标文件内容须完全一致，如不一致，后果投标人自行承担。</w:t>
      </w:r>
    </w:p>
    <w:p>
      <w:pPr>
        <w:pStyle w:val="2"/>
        <w:spacing w:line="400" w:lineRule="exact"/>
        <w:ind w:left="0" w:firstLineChars="200"/>
        <w:rPr>
          <w:rFonts w:ascii="宋体" w:hAnsi="宋体" w:cs="宋体"/>
          <w:color w:val="0000FF"/>
          <w:szCs w:val="22"/>
          <w:lang w:val="en-US"/>
        </w:rPr>
      </w:pPr>
      <w:r>
        <w:rPr>
          <w:rFonts w:hint="eastAsia" w:asciiTheme="minorEastAsia" w:hAnsiTheme="minorEastAsia" w:eastAsiaTheme="minorEastAsia" w:cstheme="minorEastAsia"/>
          <w:bCs/>
          <w:kern w:val="0"/>
          <w:sz w:val="20"/>
          <w:szCs w:val="20"/>
          <w:highlight w:val="yellow"/>
          <w:lang w:val="en-US" w:eastAsia="zh-CN" w:bidi="ar-SA"/>
        </w:rPr>
        <w:t>配网类涉及标段</w:t>
      </w:r>
      <w:r>
        <w:rPr>
          <w:rFonts w:hint="eastAsia" w:asciiTheme="minorEastAsia" w:hAnsiTheme="minorEastAsia" w:eastAsiaTheme="minorEastAsia" w:cstheme="minorEastAsia"/>
          <w:bCs/>
          <w:kern w:val="0"/>
          <w:sz w:val="20"/>
          <w:szCs w:val="20"/>
          <w:highlight w:val="none"/>
          <w:lang w:val="en-US" w:eastAsia="zh-CN" w:bidi="ar-SA"/>
        </w:rPr>
        <w:t>：</w:t>
      </w:r>
      <w:r>
        <w:rPr>
          <w:rFonts w:hint="default" w:asciiTheme="minorEastAsia" w:hAnsiTheme="minorEastAsia" w:eastAsiaTheme="minorEastAsia" w:cstheme="minorEastAsia"/>
          <w:bCs/>
          <w:kern w:val="0"/>
          <w:sz w:val="20"/>
          <w:szCs w:val="20"/>
          <w:highlight w:val="none"/>
          <w:lang w:val="en-US" w:eastAsia="zh-CN" w:bidi="ar-SA"/>
        </w:rPr>
        <w:t>高压开关柜-1250A、高压开关柜-标准化、高压熔断器-200A、高压熔断器-标准化、交流避雷器-标准化、10kV交流避雷器、交流三相隔离开关-标准化、配电终端-DTU、布电线、钢绞线、钢芯铝绞线、钢芯耐热铝合金绞线、蝶式绝缘子、拉紧绝缘子-标准化、线路柱式复合绝缘子、针式瓷绝缘子、防风偏复合绝缘子、铁构件、钢管杆、铁塔、金具-预审、金具-后审、导线耐张串、锥形水泥杆-非预应力、锥形水泥杆-部分预应力</w:t>
      </w:r>
      <w:r>
        <w:rPr>
          <w:rFonts w:hint="eastAsia" w:asciiTheme="minorEastAsia" w:hAnsiTheme="minorEastAsia" w:eastAsiaTheme="minorEastAsia" w:cstheme="minorEastAsia"/>
          <w:bCs/>
          <w:kern w:val="0"/>
          <w:sz w:val="20"/>
          <w:szCs w:val="20"/>
          <w:highlight w:val="none"/>
          <w:lang w:val="en-US" w:eastAsia="zh-CN" w:bidi="ar-SA"/>
        </w:rPr>
        <w:t>。</w:t>
      </w:r>
      <w:r>
        <w:rPr>
          <w:rFonts w:hint="eastAsia" w:asciiTheme="minorEastAsia" w:hAnsiTheme="minorEastAsia" w:eastAsiaTheme="minorEastAsia" w:cstheme="minorEastAsia"/>
          <w:bCs/>
          <w:kern w:val="0"/>
          <w:sz w:val="20"/>
          <w:szCs w:val="20"/>
          <w:highlight w:val="yellow"/>
          <w:lang w:val="en-US" w:eastAsia="zh-CN" w:bidi="ar-SA"/>
        </w:rPr>
        <w:t>其他分标均为：批次类</w:t>
      </w:r>
      <w:r>
        <w:rPr>
          <w:rFonts w:hint="eastAsia" w:asciiTheme="minorEastAsia" w:hAnsiTheme="minorEastAsia" w:eastAsiaTheme="minorEastAsia" w:cstheme="minorEastAsia"/>
          <w:bCs/>
          <w:kern w:val="0"/>
          <w:sz w:val="20"/>
          <w:szCs w:val="20"/>
          <w:highlight w:val="none"/>
          <w:lang w:val="en-US" w:eastAsia="zh-CN" w:bidi="ar-SA"/>
        </w:rPr>
        <w:t>。</w:t>
      </w:r>
    </w:p>
    <w:p>
      <w:pPr>
        <w:pStyle w:val="2"/>
        <w:spacing w:line="400" w:lineRule="exact"/>
        <w:ind w:left="0" w:firstLineChars="200"/>
        <w:rPr>
          <w:rFonts w:ascii="宋体" w:cs="宋体"/>
          <w:color w:val="0000FF"/>
          <w:szCs w:val="22"/>
          <w:lang w:val="en-US"/>
        </w:rPr>
      </w:pPr>
      <w:r>
        <w:rPr>
          <w:rFonts w:ascii="宋体" w:hAnsi="宋体" w:cs="宋体"/>
          <w:color w:val="0000FF"/>
          <w:szCs w:val="22"/>
          <w:lang w:val="en-US"/>
        </w:rPr>
        <w:t>5.2.1</w:t>
      </w:r>
      <w:r>
        <w:rPr>
          <w:rFonts w:hint="eastAsia" w:ascii="宋体" w:hAnsi="宋体" w:cs="宋体"/>
          <w:color w:val="0000FF"/>
          <w:szCs w:val="22"/>
          <w:lang w:val="en-US"/>
        </w:rPr>
        <w:t>关于“招标采购辅助工具”制作压缩包的说明：投标人应严格按照手册在“招标采购辅助工具”上对所投所有分标进行一次性填写信息（即：在一台电脑上完成所有标包的填写，切勿分开电脑制作，切勿分开标包制作），并生成压缩包（同步生成的二维码封皮无需放置），投标人在“招标采购辅助工具”上传的</w:t>
      </w:r>
      <w:r>
        <w:rPr>
          <w:rFonts w:ascii="宋体" w:hAnsi="宋体" w:cs="宋体"/>
          <w:color w:val="0000FF"/>
          <w:szCs w:val="22"/>
          <w:lang w:val="en-US"/>
        </w:rPr>
        <w:t>PDF</w:t>
      </w:r>
      <w:r>
        <w:rPr>
          <w:rFonts w:hint="eastAsia" w:ascii="宋体" w:hAnsi="宋体" w:cs="宋体"/>
          <w:color w:val="0000FF"/>
          <w:szCs w:val="22"/>
          <w:lang w:val="en-US"/>
        </w:rPr>
        <w:t>格式的投标文件必须加盖公司公章，“招标采购辅助工具”生成的压缩包（内容及文件命名）不允许做任何修改，同时于本地对压缩包进行解压测试，确保压缩包可正常解压。供应商无需再次打包压缩，不做任何修改，直接将压缩包按照类别分别使用“云接标辅助工具”原样上传即可。</w:t>
      </w:r>
    </w:p>
    <w:p>
      <w:pPr>
        <w:pStyle w:val="2"/>
        <w:spacing w:line="400" w:lineRule="exact"/>
        <w:ind w:left="0" w:firstLineChars="200"/>
        <w:rPr>
          <w:rFonts w:ascii="宋体" w:cs="宋体"/>
          <w:color w:val="0000FF"/>
          <w:szCs w:val="22"/>
          <w:lang w:val="en-US"/>
        </w:rPr>
      </w:pPr>
      <w:r>
        <w:rPr>
          <w:rFonts w:ascii="宋体" w:hAnsi="宋体" w:cs="宋体"/>
          <w:color w:val="0000FF"/>
          <w:szCs w:val="22"/>
          <w:lang w:val="en-US"/>
        </w:rPr>
        <w:t>5.2.2</w:t>
      </w:r>
      <w:r>
        <w:rPr>
          <w:rFonts w:hint="eastAsia" w:ascii="宋体" w:hAnsi="宋体" w:cs="宋体"/>
          <w:color w:val="0000FF"/>
          <w:szCs w:val="22"/>
          <w:lang w:val="en-US"/>
        </w:rPr>
        <w:t>关于“云接标辅助工具”递交投标文件的说明：</w:t>
      </w:r>
    </w:p>
    <w:p>
      <w:pPr>
        <w:pStyle w:val="2"/>
        <w:spacing w:line="400" w:lineRule="exact"/>
        <w:ind w:left="0" w:firstLine="0"/>
        <w:rPr>
          <w:rFonts w:ascii="宋体" w:cs="宋体"/>
          <w:color w:val="0000FF"/>
          <w:szCs w:val="22"/>
          <w:lang w:val="en-US"/>
        </w:rPr>
      </w:pPr>
      <w:r>
        <w:rPr>
          <w:rFonts w:hint="eastAsia" w:ascii="宋体" w:hAnsi="宋体" w:cs="宋体"/>
          <w:color w:val="0000FF"/>
          <w:szCs w:val="22"/>
          <w:lang w:val="en-US"/>
        </w:rPr>
        <w:t>（</w:t>
      </w:r>
      <w:r>
        <w:rPr>
          <w:rFonts w:ascii="宋体" w:hAnsi="宋体" w:cs="宋体"/>
          <w:color w:val="0000FF"/>
          <w:szCs w:val="22"/>
          <w:lang w:val="en-US"/>
        </w:rPr>
        <w:t>1</w:t>
      </w:r>
      <w:r>
        <w:rPr>
          <w:rFonts w:hint="eastAsia" w:ascii="宋体" w:hAnsi="宋体" w:cs="宋体"/>
          <w:color w:val="0000FF"/>
          <w:szCs w:val="22"/>
          <w:lang w:val="en-US"/>
        </w:rPr>
        <w:t>）投标人应在投标截止时间前将投标文件，通过“云接标辅助工具”上传。上传成功后，系统在投标总览里自动反馈上传结果和时间。投标人应充分考虑上传文件时的不可预见因素，未在投标截止时间前完成上传的（以回执时间为准），或在截标后对上传文件进行修改的，将被认定为无效文件。</w:t>
      </w:r>
    </w:p>
    <w:p>
      <w:pPr>
        <w:pStyle w:val="2"/>
        <w:spacing w:line="400" w:lineRule="exact"/>
        <w:ind w:left="0" w:firstLine="0"/>
        <w:rPr>
          <w:rFonts w:ascii="宋体" w:cs="宋体"/>
          <w:color w:val="0000FF"/>
          <w:szCs w:val="22"/>
          <w:lang w:val="en-US"/>
        </w:rPr>
      </w:pPr>
      <w:r>
        <w:rPr>
          <w:rFonts w:hint="eastAsia" w:ascii="宋体" w:hAnsi="宋体" w:cs="宋体"/>
          <w:color w:val="0000FF"/>
          <w:szCs w:val="22"/>
          <w:lang w:val="en-US"/>
        </w:rPr>
        <w:t>（</w:t>
      </w:r>
      <w:r>
        <w:rPr>
          <w:rFonts w:ascii="宋体" w:hAnsi="宋体" w:cs="宋体"/>
          <w:color w:val="0000FF"/>
          <w:szCs w:val="22"/>
          <w:lang w:val="en-US"/>
        </w:rPr>
        <w:t>2</w:t>
      </w:r>
      <w:r>
        <w:rPr>
          <w:rFonts w:hint="eastAsia" w:ascii="宋体" w:hAnsi="宋体" w:cs="宋体"/>
          <w:color w:val="0000FF"/>
          <w:szCs w:val="22"/>
          <w:lang w:val="en-US"/>
        </w:rPr>
        <w:t>）投标人在截标时间前可重复递交投标文件，文件修改可直接在工具中重新编辑修改、重新加密、上传，完成对原投标文件的修改。以投标截止时间前上传的最后一份投标文件为准。</w:t>
      </w:r>
    </w:p>
    <w:p>
      <w:pPr>
        <w:pStyle w:val="2"/>
        <w:spacing w:line="400" w:lineRule="exact"/>
        <w:ind w:left="0" w:firstLine="0"/>
        <w:rPr>
          <w:rFonts w:ascii="宋体" w:cs="宋体"/>
          <w:color w:val="0000FF"/>
          <w:szCs w:val="22"/>
          <w:lang w:val="en-US"/>
        </w:rPr>
      </w:pPr>
      <w:r>
        <w:rPr>
          <w:rFonts w:hint="eastAsia" w:ascii="宋体" w:hAnsi="宋体" w:cs="宋体"/>
          <w:color w:val="0000FF"/>
          <w:szCs w:val="22"/>
          <w:lang w:val="en-US"/>
        </w:rPr>
        <w:t>（</w:t>
      </w:r>
      <w:r>
        <w:rPr>
          <w:rFonts w:ascii="宋体" w:hAnsi="宋体" w:cs="宋体"/>
          <w:color w:val="0000FF"/>
          <w:szCs w:val="22"/>
          <w:lang w:val="en-US"/>
        </w:rPr>
        <w:t>3</w:t>
      </w:r>
      <w:r>
        <w:rPr>
          <w:rFonts w:hint="eastAsia" w:ascii="宋体" w:hAnsi="宋体" w:cs="宋体"/>
          <w:color w:val="0000FF"/>
          <w:szCs w:val="22"/>
          <w:lang w:val="en-US"/>
        </w:rPr>
        <w:t>）上传方式详见从“云接标辅助工具”获取地址中下载的“投标工具加密上传步骤”。</w:t>
      </w:r>
    </w:p>
    <w:p>
      <w:pPr>
        <w:pStyle w:val="2"/>
        <w:spacing w:line="400" w:lineRule="exact"/>
        <w:ind w:left="0" w:firstLine="0"/>
        <w:rPr>
          <w:rFonts w:ascii="宋体" w:cs="宋体"/>
          <w:color w:val="0000FF"/>
          <w:szCs w:val="22"/>
          <w:lang w:val="en-US"/>
        </w:rPr>
      </w:pPr>
      <w:r>
        <w:rPr>
          <w:rFonts w:hint="eastAsia" w:ascii="宋体" w:hAnsi="宋体" w:cs="宋体"/>
          <w:color w:val="0000FF"/>
          <w:szCs w:val="22"/>
          <w:lang w:val="en-US"/>
        </w:rPr>
        <w:t>（</w:t>
      </w:r>
      <w:r>
        <w:rPr>
          <w:rFonts w:ascii="宋体" w:hAnsi="宋体" w:cs="宋体"/>
          <w:color w:val="0000FF"/>
          <w:szCs w:val="22"/>
          <w:lang w:val="en-US"/>
        </w:rPr>
        <w:t>4</w:t>
      </w:r>
      <w:r>
        <w:rPr>
          <w:rFonts w:hint="eastAsia" w:ascii="宋体" w:hAnsi="宋体" w:cs="宋体"/>
          <w:color w:val="0000FF"/>
          <w:szCs w:val="22"/>
          <w:lang w:val="en-US"/>
        </w:rPr>
        <w:t>）“云接标辅助工具”支持分开上传投标文件，部分完成的投标文件可先后分开上传。建议各投标人不要集中大量同时上传投标文件，以免发生投标截止时间前网络拥挤，导致文件上传失败的情况发生。</w:t>
      </w:r>
    </w:p>
    <w:p>
      <w:pPr>
        <w:pStyle w:val="2"/>
        <w:spacing w:line="400" w:lineRule="exact"/>
        <w:ind w:left="0" w:firstLine="0"/>
        <w:rPr>
          <w:rFonts w:ascii="宋体" w:cs="宋体"/>
          <w:color w:val="0000FF"/>
          <w:szCs w:val="22"/>
          <w:lang w:val="en-US"/>
        </w:rPr>
      </w:pPr>
      <w:r>
        <w:rPr>
          <w:rFonts w:hint="eastAsia" w:ascii="宋体" w:hAnsi="宋体" w:cs="宋体"/>
          <w:color w:val="0000FF"/>
          <w:szCs w:val="22"/>
          <w:lang w:val="en-US"/>
        </w:rPr>
        <w:t>（</w:t>
      </w:r>
      <w:r>
        <w:rPr>
          <w:rFonts w:ascii="宋体" w:hAnsi="宋体" w:cs="宋体"/>
          <w:color w:val="0000FF"/>
          <w:szCs w:val="22"/>
          <w:lang w:val="en-US"/>
        </w:rPr>
        <w:t>5</w:t>
      </w:r>
      <w:r>
        <w:rPr>
          <w:rFonts w:hint="eastAsia" w:ascii="宋体" w:hAnsi="宋体" w:cs="宋体"/>
          <w:color w:val="0000FF"/>
          <w:szCs w:val="22"/>
          <w:lang w:val="en-US"/>
        </w:rPr>
        <w:t>）投标人应按要求递交电子版投标文件（通过“云接标辅助工具”递交的投标文件），开标文件（含报价）以</w:t>
      </w:r>
      <w:r>
        <w:rPr>
          <w:rFonts w:ascii="宋体" w:hAnsi="宋体" w:cs="宋体"/>
          <w:color w:val="0000FF"/>
          <w:szCs w:val="22"/>
          <w:lang w:val="en-US"/>
        </w:rPr>
        <w:t>ECP2.0</w:t>
      </w:r>
      <w:r>
        <w:rPr>
          <w:rFonts w:hint="eastAsia" w:ascii="宋体" w:hAnsi="宋体" w:cs="宋体"/>
          <w:color w:val="0000FF"/>
          <w:szCs w:val="22"/>
          <w:lang w:val="en-US"/>
        </w:rPr>
        <w:t>系统为准；其余商务、技术等部分以“云接标辅助工具”下载的商务、技术</w:t>
      </w:r>
      <w:r>
        <w:rPr>
          <w:rFonts w:hint="eastAsia" w:ascii="宋体" w:hAnsi="宋体" w:cs="宋体"/>
          <w:color w:val="0000FF"/>
          <w:szCs w:val="22"/>
          <w:lang w:val="en-US" w:eastAsia="zh-CN"/>
        </w:rPr>
        <w:t>投标</w:t>
      </w:r>
      <w:r>
        <w:rPr>
          <w:rFonts w:hint="eastAsia" w:ascii="宋体" w:hAnsi="宋体" w:cs="宋体"/>
          <w:color w:val="0000FF"/>
          <w:szCs w:val="22"/>
          <w:lang w:val="en-US"/>
        </w:rPr>
        <w:t>文件为准。</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5.3 </w:t>
      </w:r>
      <w:r>
        <w:rPr>
          <w:rFonts w:hint="eastAsia" w:ascii="宋体" w:hAnsi="宋体" w:eastAsia="宋体" w:cs="宋体"/>
        </w:rPr>
        <w:t>投标截止时间之前未成功提交至招标人招投标交易平台信息系统的电子投标文件，招标人不予受理。不接受未按规定加密的投标文件及投标文件的修改文件。不接受邮寄、现场提交等电子提交方式以外的其他方式提交投标文件及投标文件的修改文件。</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5.4</w:t>
      </w:r>
      <w:r>
        <w:rPr>
          <w:rFonts w:hint="eastAsia" w:ascii="宋体" w:hAnsi="宋体" w:eastAsia="宋体" w:cs="宋体"/>
        </w:rPr>
        <w:t>未按招标公告规定的时间和方式获取并下载招标文件的投标，招标人将不予受理。</w:t>
      </w:r>
      <w:bookmarkStart w:id="115" w:name="_MON_1697628392"/>
      <w:bookmarkEnd w:id="115"/>
    </w:p>
    <w:p>
      <w:pPr>
        <w:keepNext w:val="0"/>
        <w:keepLines w:val="0"/>
        <w:pageBreakBefore w:val="0"/>
        <w:widowControl w:val="0"/>
        <w:kinsoku/>
        <w:wordWrap/>
        <w:overflowPunct/>
        <w:topLinePunct w:val="0"/>
        <w:autoSpaceDE/>
        <w:autoSpaceDN/>
        <w:bidi w:val="0"/>
        <w:adjustRightInd/>
        <w:snapToGrid/>
        <w:spacing w:beforeLines="100" w:afterLines="50"/>
        <w:ind w:firstLine="482" w:firstLineChars="200"/>
        <w:textAlignment w:val="auto"/>
        <w:outlineLvl w:val="1"/>
        <w:rPr>
          <w:rFonts w:ascii="黑体" w:hAnsi="Calibri" w:eastAsia="黑体"/>
          <w:b/>
          <w:sz w:val="24"/>
          <w:highlight w:val="yellow"/>
        </w:rPr>
      </w:pPr>
      <w:bookmarkStart w:id="116" w:name="_Toc13549"/>
      <w:bookmarkStart w:id="117" w:name="_Toc1708"/>
      <w:bookmarkStart w:id="118" w:name="_Toc19693"/>
      <w:bookmarkStart w:id="119" w:name="_Toc62222028"/>
      <w:bookmarkStart w:id="120" w:name="_Toc19827"/>
      <w:bookmarkStart w:id="121" w:name="_Toc3280"/>
      <w:bookmarkStart w:id="122" w:name="_Toc62549135"/>
      <w:bookmarkStart w:id="123" w:name="_Toc24960"/>
      <w:bookmarkStart w:id="124" w:name="_Toc673"/>
      <w:bookmarkStart w:id="125" w:name="_Toc62222576"/>
      <w:bookmarkStart w:id="126" w:name="_Toc29315"/>
      <w:bookmarkStart w:id="127" w:name="_Toc62221760"/>
      <w:bookmarkStart w:id="128" w:name="_Toc4653"/>
      <w:bookmarkStart w:id="129" w:name="_Toc62221469"/>
      <w:bookmarkStart w:id="130" w:name="_Toc3709"/>
      <w:bookmarkStart w:id="131" w:name="_Toc62549191"/>
      <w:r>
        <w:rPr>
          <w:rFonts w:ascii="黑体" w:hAnsi="Calibri" w:eastAsia="黑体"/>
          <w:b/>
          <w:sz w:val="24"/>
          <w:highlight w:val="yellow"/>
        </w:rPr>
        <w:t>6.</w:t>
      </w:r>
      <w:r>
        <w:rPr>
          <w:rFonts w:hint="eastAsia" w:ascii="黑体" w:hAnsi="Calibri" w:eastAsia="黑体"/>
          <w:b/>
          <w:sz w:val="24"/>
          <w:highlight w:val="yellow"/>
        </w:rPr>
        <w:t>特别提醒事项</w:t>
      </w:r>
    </w:p>
    <w:p>
      <w:pPr>
        <w:keepNext w:val="0"/>
        <w:keepLines w:val="0"/>
        <w:pageBreakBefore w:val="0"/>
        <w:widowControl w:val="0"/>
        <w:kinsoku/>
        <w:wordWrap/>
        <w:overflowPunct/>
        <w:topLinePunct w:val="0"/>
        <w:autoSpaceDE/>
        <w:autoSpaceDN/>
        <w:bidi w:val="0"/>
        <w:adjustRightInd/>
        <w:snapToGrid/>
        <w:spacing w:beforeLines="100" w:afterLines="50"/>
        <w:ind w:firstLine="482" w:firstLineChars="200"/>
        <w:textAlignment w:val="auto"/>
        <w:outlineLvl w:val="1"/>
        <w:rPr>
          <w:rFonts w:hint="eastAsia" w:ascii="黑体" w:hAnsi="Calibri" w:eastAsia="黑体"/>
          <w:b/>
          <w:sz w:val="24"/>
        </w:rPr>
      </w:pPr>
      <w:r>
        <w:rPr>
          <w:rFonts w:ascii="黑体" w:hAnsi="Calibri" w:eastAsia="黑体"/>
          <w:b/>
          <w:sz w:val="24"/>
        </w:rPr>
        <w:t>6.1</w:t>
      </w:r>
      <w:r>
        <w:rPr>
          <w:rFonts w:hint="eastAsia" w:ascii="黑体" w:hAnsi="Calibri" w:eastAsia="黑体"/>
          <w:b/>
          <w:sz w:val="24"/>
        </w:rPr>
        <w:t>实物ID总体工作要求：</w:t>
      </w:r>
    </w:p>
    <w:p>
      <w:pPr>
        <w:keepNext w:val="0"/>
        <w:keepLines w:val="0"/>
        <w:pageBreakBefore w:val="0"/>
        <w:widowControl w:val="0"/>
        <w:kinsoku/>
        <w:wordWrap/>
        <w:overflowPunct/>
        <w:topLinePunct w:val="0"/>
        <w:autoSpaceDE/>
        <w:autoSpaceDN/>
        <w:bidi w:val="0"/>
        <w:adjustRightInd/>
        <w:snapToGrid/>
        <w:spacing w:beforeLines="100" w:afterLines="50"/>
        <w:ind w:firstLine="482" w:firstLineChars="200"/>
        <w:textAlignment w:val="auto"/>
        <w:outlineLvl w:val="1"/>
        <w:rPr>
          <w:rFonts w:ascii="黑体" w:hAnsi="Calibri" w:eastAsia="黑体"/>
          <w:b/>
          <w:sz w:val="24"/>
        </w:rPr>
      </w:pPr>
      <w:r>
        <w:rPr>
          <w:rFonts w:hint="eastAsia" w:ascii="黑体" w:hAnsi="Calibri" w:eastAsia="黑体"/>
          <w:b/>
          <w:sz w:val="24"/>
        </w:rPr>
        <w:t>按照国网公司实物ID管理要求，本次招标中启用实物ID管理的物资，应由供应商按照不同物资类型，随物资提供并安装二维码标签和RFID电子标签。标签制作及标签安装需满足国网相关技术规范及安装指导手册要求。详见招标文件第二章投标人须知前附表，请各投标人仔细阅读，严格按照要求执行。</w:t>
      </w:r>
    </w:p>
    <w:p>
      <w:pPr>
        <w:keepNext w:val="0"/>
        <w:keepLines w:val="0"/>
        <w:pageBreakBefore w:val="0"/>
        <w:widowControl w:val="0"/>
        <w:kinsoku/>
        <w:wordWrap/>
        <w:overflowPunct/>
        <w:topLinePunct w:val="0"/>
        <w:autoSpaceDE/>
        <w:autoSpaceDN/>
        <w:bidi w:val="0"/>
        <w:adjustRightInd/>
        <w:snapToGrid/>
        <w:spacing w:beforeLines="100" w:afterLines="50"/>
        <w:ind w:firstLine="482" w:firstLineChars="200"/>
        <w:textAlignment w:val="auto"/>
        <w:outlineLvl w:val="1"/>
        <w:rPr>
          <w:rFonts w:ascii="黑体" w:hAnsi="Calibri" w:eastAsia="黑体"/>
          <w:b/>
          <w:sz w:val="24"/>
        </w:rPr>
      </w:pPr>
      <w:r>
        <w:rPr>
          <w:rFonts w:hint="eastAsia" w:ascii="黑体" w:hAnsi="Calibri" w:eastAsia="黑体"/>
          <w:b/>
          <w:sz w:val="24"/>
        </w:rPr>
        <w:t>“电网资产统一身份编码技术规范”要求如下</w:t>
      </w:r>
      <w:r>
        <w:rPr>
          <w:rFonts w:ascii="黑体" w:hAnsi="Calibri" w:eastAsia="黑体"/>
          <w:b/>
          <w:sz w:val="24"/>
        </w:rPr>
        <w:t>:</w:t>
      </w:r>
    </w:p>
    <w:p>
      <w:pPr>
        <w:spacing w:beforeLines="100" w:afterLines="50"/>
        <w:ind w:firstLine="723" w:firstLineChars="300"/>
        <w:outlineLvl w:val="1"/>
        <w:rPr>
          <w:rFonts w:hint="eastAsia" w:ascii="黑体" w:hAnsi="Calibri" w:eastAsia="黑体"/>
          <w:b/>
          <w:sz w:val="24"/>
          <w:lang w:eastAsia="zh-CN"/>
        </w:rPr>
      </w:pPr>
      <w:r>
        <w:rPr>
          <w:rFonts w:hint="eastAsia" w:ascii="黑体" w:hAnsi="Calibri" w:eastAsia="黑体"/>
          <w:b/>
          <w:sz w:val="24"/>
          <w:lang w:eastAsia="zh-CN"/>
        </w:rPr>
        <w:object>
          <v:shape id="_x0000_i1025" o:spt="75" type="#_x0000_t75" style="height:65.5pt;width:72.5pt;" o:ole="t" filled="f" o:preferrelative="t" stroked="f" coordsize="21600,21600">
            <v:path/>
            <v:fill on="f" focussize="0,0"/>
            <v:stroke on="f"/>
            <v:imagedata r:id="rId14" o:title=""/>
            <o:lock v:ext="edit" aspectratio="t"/>
            <w10:wrap type="none"/>
            <w10:anchorlock/>
          </v:shape>
          <o:OLEObject Type="Embed" ProgID="Word.Document.12" ShapeID="_x0000_i1025" DrawAspect="Icon" ObjectID="_1468075725" r:id="rId13">
            <o:LockedField>false</o:LockedField>
          </o:OLEObject>
        </w:object>
      </w:r>
    </w:p>
    <w:p>
      <w:pPr>
        <w:pStyle w:val="14"/>
        <w:keepNext w:val="0"/>
        <w:keepLines w:val="0"/>
        <w:pageBreakBefore w:val="0"/>
        <w:widowControl w:val="0"/>
        <w:kinsoku/>
        <w:wordWrap/>
        <w:overflowPunct/>
        <w:topLinePunct w:val="0"/>
        <w:bidi w:val="0"/>
        <w:adjustRightInd/>
        <w:snapToGrid/>
        <w:spacing w:line="400" w:lineRule="exact"/>
        <w:ind w:firstLine="482" w:firstLineChars="200"/>
        <w:jc w:val="both"/>
        <w:textAlignment w:val="auto"/>
        <w:outlineLvl w:val="9"/>
        <w:rPr>
          <w:rFonts w:hint="eastAsia" w:ascii="黑体" w:hAnsi="Calibri" w:eastAsia="黑体"/>
          <w:b/>
          <w:sz w:val="24"/>
          <w:lang w:val="en-US" w:eastAsia="zh-CN"/>
        </w:rPr>
      </w:pPr>
      <w:r>
        <w:rPr>
          <w:rFonts w:ascii="黑体" w:hAnsi="Calibri" w:eastAsia="黑体"/>
          <w:b/>
          <w:sz w:val="24"/>
          <w:lang w:val="en-US"/>
        </w:rPr>
        <w:t xml:space="preserve">6.2 </w:t>
      </w:r>
      <w:r>
        <w:rPr>
          <w:rFonts w:hint="eastAsia" w:ascii="黑体" w:hAnsi="Calibri" w:eastAsia="黑体"/>
          <w:b/>
          <w:sz w:val="24"/>
          <w:lang w:val="en-US"/>
        </w:rPr>
        <w:t>评标期间将加强对投标人围串标行为、造假行为等的甄别，具体如下</w:t>
      </w:r>
      <w:r>
        <w:rPr>
          <w:rFonts w:hint="eastAsia" w:ascii="黑体" w:hAnsi="Calibri" w:eastAsia="黑体"/>
          <w:b/>
          <w:sz w:val="24"/>
          <w:lang w:val="en-US" w:eastAsia="zh-CN"/>
        </w:rPr>
        <w:t>：</w:t>
      </w:r>
    </w:p>
    <w:p>
      <w:pPr>
        <w:pStyle w:val="14"/>
        <w:keepNext w:val="0"/>
        <w:keepLines w:val="0"/>
        <w:pageBreakBefore w:val="0"/>
        <w:widowControl w:val="0"/>
        <w:kinsoku/>
        <w:wordWrap/>
        <w:overflowPunct/>
        <w:topLinePunct w:val="0"/>
        <w:bidi w:val="0"/>
        <w:adjustRightInd/>
        <w:snapToGrid/>
        <w:spacing w:line="400" w:lineRule="exact"/>
        <w:ind w:firstLine="482" w:firstLineChars="200"/>
        <w:jc w:val="both"/>
        <w:textAlignment w:val="auto"/>
        <w:outlineLvl w:val="9"/>
        <w:rPr>
          <w:rFonts w:ascii="黑体" w:hAnsi="Calibri" w:eastAsia="黑体"/>
          <w:b/>
          <w:sz w:val="24"/>
          <w:lang w:val="en-US"/>
        </w:rPr>
      </w:pPr>
      <w:r>
        <w:rPr>
          <w:rFonts w:ascii="黑体" w:hAnsi="Calibri" w:eastAsia="黑体"/>
          <w:b/>
          <w:sz w:val="24"/>
          <w:lang w:val="en-US"/>
        </w:rPr>
        <w:t xml:space="preserve">6.2.1 </w:t>
      </w:r>
      <w:r>
        <w:rPr>
          <w:rFonts w:hint="eastAsia" w:ascii="黑体" w:hAnsi="Calibri" w:eastAsia="黑体"/>
          <w:b/>
          <w:sz w:val="24"/>
          <w:lang w:val="en-US"/>
        </w:rPr>
        <w:t>评标期间，将对同一标包内不同投标人的投标文件的一致性进行比对，若发现存在围串标情形的，其投标将被否决，同时招标人将依据《国家电网有限公司供应商关系管理办法》规定进行后续处理。</w:t>
      </w:r>
    </w:p>
    <w:p>
      <w:pPr>
        <w:keepNext w:val="0"/>
        <w:keepLines w:val="0"/>
        <w:pageBreakBefore w:val="0"/>
        <w:widowControl w:val="0"/>
        <w:kinsoku/>
        <w:wordWrap/>
        <w:overflowPunct/>
        <w:topLinePunct w:val="0"/>
        <w:bidi w:val="0"/>
        <w:adjustRightInd/>
        <w:snapToGrid/>
        <w:spacing w:line="400" w:lineRule="exact"/>
        <w:ind w:firstLine="482" w:firstLineChars="200"/>
        <w:jc w:val="both"/>
        <w:textAlignment w:val="auto"/>
        <w:outlineLvl w:val="9"/>
        <w:rPr>
          <w:rFonts w:ascii="黑体" w:hAnsi="Calibri" w:eastAsia="黑体" w:cs="宋体"/>
          <w:b/>
          <w:kern w:val="0"/>
          <w:sz w:val="24"/>
          <w:szCs w:val="21"/>
        </w:rPr>
      </w:pPr>
      <w:r>
        <w:rPr>
          <w:rFonts w:ascii="黑体" w:hAnsi="Calibri" w:eastAsia="黑体"/>
          <w:b/>
          <w:sz w:val="24"/>
        </w:rPr>
        <w:t xml:space="preserve">6.2.2 </w:t>
      </w:r>
      <w:r>
        <w:rPr>
          <w:rFonts w:hint="eastAsia" w:ascii="黑体" w:hAnsi="Calibri" w:eastAsia="黑体"/>
          <w:b/>
          <w:sz w:val="24"/>
        </w:rPr>
        <w:t>评标期间，将</w:t>
      </w:r>
      <w:r>
        <w:rPr>
          <w:rFonts w:hint="eastAsia" w:ascii="黑体" w:hAnsi="Calibri" w:eastAsia="黑体" w:cs="宋体"/>
          <w:b/>
          <w:kern w:val="0"/>
          <w:sz w:val="24"/>
          <w:szCs w:val="21"/>
        </w:rPr>
        <w:t>对投标人提供的发票通过国家税务总局全国增值税发票查验平台（网址：</w:t>
      </w:r>
      <w:r>
        <w:fldChar w:fldCharType="begin"/>
      </w:r>
      <w:r>
        <w:instrText xml:space="preserve"> HYPERLINK "https://inv-veri.chinatax.gov.cn/）进行网上查验，无法查验的发票视为无效。发票如无法查验，不被认定为有效业绩。如可辨认的业绩不满足专用资质业绩要求，招标人将否决其投标。对提供虚假发票的投标人，招标人否决其投标，并按照《国家电网有限公司供应商不良行为处理管理细则》将之列入黑名单处罚，同时上报国家电网有限公司在电子商务平台公布，且举报至当地税务机关。" </w:instrText>
      </w:r>
      <w:r>
        <w:fldChar w:fldCharType="separate"/>
      </w:r>
      <w:r>
        <w:rPr>
          <w:rFonts w:ascii="黑体" w:hAnsi="Calibri" w:eastAsia="黑体" w:cs="宋体"/>
          <w:b/>
          <w:kern w:val="0"/>
          <w:sz w:val="24"/>
          <w:szCs w:val="21"/>
        </w:rPr>
        <w:t>https://inv-veri.chinatax.gov.cn/</w:t>
      </w:r>
      <w:r>
        <w:rPr>
          <w:rFonts w:hint="eastAsia" w:ascii="黑体" w:hAnsi="Calibri" w:eastAsia="黑体" w:cs="宋体"/>
          <w:b/>
          <w:kern w:val="0"/>
          <w:sz w:val="24"/>
          <w:szCs w:val="21"/>
        </w:rPr>
        <w:t>）进行网上查验，对提供虚假发票的投标人，</w:t>
      </w:r>
      <w:r>
        <w:rPr>
          <w:rFonts w:hint="eastAsia" w:ascii="黑体" w:hAnsi="Calibri" w:eastAsia="黑体"/>
          <w:b/>
          <w:sz w:val="24"/>
        </w:rPr>
        <w:t>其投标将被否决，同时招标人将依据《国家电网有限公司供应商关系管理办法》规定进行后续处理，</w:t>
      </w:r>
      <w:r>
        <w:rPr>
          <w:rFonts w:hint="eastAsia" w:ascii="黑体" w:hAnsi="Calibri" w:eastAsia="黑体" w:cs="宋体"/>
          <w:b/>
          <w:kern w:val="0"/>
          <w:sz w:val="24"/>
          <w:szCs w:val="21"/>
        </w:rPr>
        <w:t>且举报至当地税务机关。</w:t>
      </w:r>
      <w:r>
        <w:rPr>
          <w:rFonts w:hint="eastAsia" w:ascii="黑体" w:hAnsi="Calibri" w:eastAsia="黑体" w:cs="宋体"/>
          <w:b/>
          <w:kern w:val="0"/>
          <w:sz w:val="24"/>
          <w:szCs w:val="21"/>
        </w:rPr>
        <w:fldChar w:fldCharType="end"/>
      </w:r>
    </w:p>
    <w:p>
      <w:pPr>
        <w:keepNext w:val="0"/>
        <w:keepLines w:val="0"/>
        <w:pageBreakBefore w:val="0"/>
        <w:widowControl w:val="0"/>
        <w:kinsoku/>
        <w:wordWrap/>
        <w:overflowPunct/>
        <w:topLinePunct w:val="0"/>
        <w:bidi w:val="0"/>
        <w:adjustRightInd/>
        <w:snapToGrid/>
        <w:spacing w:line="400" w:lineRule="exact"/>
        <w:ind w:firstLine="482" w:firstLineChars="200"/>
        <w:jc w:val="both"/>
        <w:textAlignment w:val="auto"/>
        <w:outlineLvl w:val="9"/>
        <w:rPr>
          <w:rFonts w:hint="eastAsia" w:ascii="黑体" w:hAnsi="Calibri" w:eastAsia="黑体" w:cs="宋体"/>
          <w:b/>
          <w:kern w:val="0"/>
          <w:sz w:val="24"/>
          <w:szCs w:val="21"/>
        </w:rPr>
      </w:pPr>
      <w:r>
        <w:rPr>
          <w:rFonts w:ascii="黑体" w:hAnsi="Calibri" w:eastAsia="黑体" w:cs="宋体"/>
          <w:b/>
          <w:kern w:val="0"/>
          <w:sz w:val="24"/>
          <w:szCs w:val="21"/>
        </w:rPr>
        <w:t xml:space="preserve">6.2.3 </w:t>
      </w:r>
      <w:r>
        <w:rPr>
          <w:rFonts w:hint="eastAsia" w:ascii="黑体" w:hAnsi="Calibri" w:eastAsia="黑体"/>
          <w:b/>
          <w:sz w:val="24"/>
        </w:rPr>
        <w:t>评标期间，将</w:t>
      </w:r>
      <w:r>
        <w:rPr>
          <w:rFonts w:hint="eastAsia" w:ascii="黑体" w:hAnsi="Calibri" w:eastAsia="黑体" w:cs="宋体"/>
          <w:b/>
          <w:kern w:val="0"/>
          <w:sz w:val="24"/>
          <w:szCs w:val="21"/>
        </w:rPr>
        <w:t>对投标人提供的检验或检测或试验报告进行真伪查验，对提供虚假报告的投标人，</w:t>
      </w:r>
      <w:r>
        <w:rPr>
          <w:rFonts w:hint="eastAsia" w:ascii="黑体" w:hAnsi="Calibri" w:eastAsia="黑体"/>
          <w:b/>
          <w:sz w:val="24"/>
        </w:rPr>
        <w:t>其投标将被否决，同时招标人将依据《国家电网有限公司供应商关系管理办法》规定进行后续处理</w:t>
      </w:r>
      <w:r>
        <w:rPr>
          <w:rFonts w:hint="eastAsia" w:ascii="黑体" w:hAnsi="Calibri" w:eastAsia="黑体" w:cs="宋体"/>
          <w:b/>
          <w:kern w:val="0"/>
          <w:sz w:val="24"/>
          <w:szCs w:val="21"/>
        </w:rPr>
        <w:t>。</w:t>
      </w:r>
    </w:p>
    <w:p>
      <w:pPr>
        <w:keepNext w:val="0"/>
        <w:keepLines w:val="0"/>
        <w:pageBreakBefore w:val="0"/>
        <w:widowControl w:val="0"/>
        <w:tabs>
          <w:tab w:val="left" w:pos="620"/>
        </w:tabs>
        <w:kinsoku/>
        <w:wordWrap/>
        <w:overflowPunct/>
        <w:topLinePunct w:val="0"/>
        <w:bidi w:val="0"/>
        <w:adjustRightInd/>
        <w:snapToGrid/>
        <w:spacing w:line="400" w:lineRule="exact"/>
        <w:ind w:firstLine="482" w:firstLineChars="200"/>
        <w:jc w:val="both"/>
        <w:textAlignment w:val="auto"/>
        <w:outlineLvl w:val="9"/>
        <w:rPr>
          <w:rFonts w:hint="eastAsia" w:ascii="宋体" w:hAnsi="宋体" w:eastAsia="宋体" w:cs="宋体"/>
          <w:b/>
          <w:bCs/>
          <w:sz w:val="21"/>
          <w:szCs w:val="21"/>
        </w:rPr>
      </w:pPr>
      <w:r>
        <w:rPr>
          <w:rFonts w:hint="eastAsia" w:ascii="黑体" w:hAnsi="Calibri" w:eastAsia="黑体" w:cs="宋体"/>
          <w:b/>
          <w:color w:val="auto"/>
          <w:kern w:val="0"/>
          <w:sz w:val="24"/>
          <w:szCs w:val="21"/>
          <w:highlight w:val="none"/>
          <w:lang w:val="en-US" w:eastAsia="zh-CN" w:bidi="zh-CN"/>
        </w:rPr>
        <w:t>6.3</w:t>
      </w:r>
      <w:r>
        <w:rPr>
          <w:rFonts w:hint="eastAsia" w:ascii="宋体" w:hAnsi="宋体" w:eastAsia="宋体" w:cs="宋体"/>
          <w:b/>
          <w:bCs/>
          <w:sz w:val="21"/>
          <w:szCs w:val="21"/>
        </w:rPr>
        <w:t>协议供货资格有效期：下发中标通知书之日起</w:t>
      </w:r>
      <w:r>
        <w:rPr>
          <w:rFonts w:hint="eastAsia" w:ascii="宋体" w:hAnsi="宋体" w:eastAsia="宋体" w:cs="宋体"/>
          <w:b/>
          <w:bCs/>
          <w:sz w:val="21"/>
          <w:szCs w:val="21"/>
          <w:highlight w:val="none"/>
        </w:rPr>
        <w:t>至202</w:t>
      </w:r>
      <w:r>
        <w:rPr>
          <w:rFonts w:hint="eastAsia" w:ascii="宋体" w:hAnsi="宋体" w:eastAsia="宋体" w:cs="宋体"/>
          <w:b/>
          <w:bCs/>
          <w:sz w:val="21"/>
          <w:szCs w:val="21"/>
          <w:highlight w:val="none"/>
          <w:lang w:val="en-US" w:eastAsia="zh-CN"/>
        </w:rPr>
        <w:t>7</w:t>
      </w:r>
      <w:r>
        <w:rPr>
          <w:rFonts w:hint="eastAsia" w:ascii="宋体" w:hAnsi="宋体" w:eastAsia="宋体" w:cs="宋体"/>
          <w:b/>
          <w:bCs/>
          <w:sz w:val="21"/>
          <w:szCs w:val="21"/>
          <w:highlight w:val="none"/>
        </w:rPr>
        <w:t>年</w:t>
      </w:r>
      <w:r>
        <w:rPr>
          <w:rFonts w:hint="eastAsia" w:cs="宋体"/>
          <w:b/>
          <w:bCs/>
          <w:sz w:val="21"/>
          <w:szCs w:val="21"/>
          <w:highlight w:val="none"/>
          <w:lang w:val="en-US" w:eastAsia="zh-CN"/>
        </w:rPr>
        <w:t>2</w:t>
      </w:r>
      <w:r>
        <w:rPr>
          <w:rFonts w:hint="eastAsia" w:ascii="宋体" w:hAnsi="宋体" w:eastAsia="宋体" w:cs="宋体"/>
          <w:b/>
          <w:bCs/>
          <w:sz w:val="21"/>
          <w:szCs w:val="21"/>
          <w:highlight w:val="none"/>
        </w:rPr>
        <w:t>月</w:t>
      </w:r>
      <w:r>
        <w:rPr>
          <w:rFonts w:hint="eastAsia" w:ascii="宋体" w:hAnsi="宋体" w:eastAsia="宋体" w:cs="宋体"/>
          <w:b/>
          <w:bCs/>
          <w:sz w:val="21"/>
          <w:szCs w:val="21"/>
          <w:highlight w:val="none"/>
          <w:lang w:val="en-US" w:eastAsia="zh-CN"/>
        </w:rPr>
        <w:t>28</w:t>
      </w:r>
      <w:r>
        <w:rPr>
          <w:rFonts w:hint="eastAsia" w:ascii="宋体" w:hAnsi="宋体" w:eastAsia="宋体" w:cs="宋体"/>
          <w:b/>
          <w:bCs/>
          <w:sz w:val="21"/>
          <w:szCs w:val="21"/>
          <w:highlight w:val="none"/>
        </w:rPr>
        <w:t>日。</w:t>
      </w:r>
    </w:p>
    <w:p>
      <w:pPr>
        <w:keepNext w:val="0"/>
        <w:keepLines w:val="0"/>
        <w:pageBreakBefore w:val="0"/>
        <w:widowControl w:val="0"/>
        <w:tabs>
          <w:tab w:val="left" w:pos="620"/>
        </w:tabs>
        <w:kinsoku/>
        <w:wordWrap/>
        <w:overflowPunct/>
        <w:topLinePunct w:val="0"/>
        <w:bidi w:val="0"/>
        <w:adjustRightInd/>
        <w:snapToGrid/>
        <w:spacing w:line="400" w:lineRule="exact"/>
        <w:ind w:firstLine="420" w:firstLineChars="200"/>
        <w:jc w:val="both"/>
        <w:textAlignment w:val="auto"/>
        <w:outlineLvl w:val="9"/>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6.3</w:t>
      </w:r>
      <w:r>
        <w:rPr>
          <w:rFonts w:hint="eastAsia" w:ascii="宋体" w:hAnsi="宋体" w:eastAsia="宋体" w:cs="宋体"/>
          <w:b w:val="0"/>
          <w:bCs w:val="0"/>
          <w:sz w:val="21"/>
          <w:szCs w:val="21"/>
        </w:rPr>
        <w:t>.1国家电网有限公司采购结果应用细则，第十六条明确规定：协议期届满，但某一供应商订单执行总量未达到承诺采购总量下限的，应通过延长协议有效期限予以兑现，延长半年后仍未达到下限的，双方协商终止协议。</w:t>
      </w:r>
    </w:p>
    <w:p>
      <w:pPr>
        <w:keepNext w:val="0"/>
        <w:keepLines w:val="0"/>
        <w:pageBreakBefore w:val="0"/>
        <w:widowControl w:val="0"/>
        <w:tabs>
          <w:tab w:val="left" w:pos="620"/>
        </w:tabs>
        <w:kinsoku/>
        <w:wordWrap/>
        <w:overflowPunct/>
        <w:topLinePunct w:val="0"/>
        <w:bidi w:val="0"/>
        <w:adjustRightInd/>
        <w:snapToGrid/>
        <w:spacing w:line="400" w:lineRule="exact"/>
        <w:ind w:firstLine="420" w:firstLineChars="200"/>
        <w:jc w:val="both"/>
        <w:textAlignment w:val="auto"/>
        <w:outlineLvl w:val="9"/>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6.3.2货物清单中的采购数量只作为预估金额测算的参考依据，不作为后续框架匹配的依据，匹配额度按照中标金额的80%-120%执行。</w:t>
      </w:r>
    </w:p>
    <w:p>
      <w:pPr>
        <w:keepNext w:val="0"/>
        <w:keepLines w:val="0"/>
        <w:pageBreakBefore w:val="0"/>
        <w:widowControl w:val="0"/>
        <w:tabs>
          <w:tab w:val="left" w:pos="620"/>
        </w:tabs>
        <w:kinsoku/>
        <w:wordWrap/>
        <w:overflowPunct/>
        <w:topLinePunct w:val="0"/>
        <w:bidi w:val="0"/>
        <w:adjustRightInd/>
        <w:snapToGrid/>
        <w:spacing w:line="400" w:lineRule="exact"/>
        <w:ind w:firstLine="420" w:firstLineChars="200"/>
        <w:jc w:val="both"/>
        <w:textAlignment w:val="auto"/>
        <w:outlineLvl w:val="9"/>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6.3.3在合同规定范围和时间内达到协议库存上限的，因项目紧急需要，可变更合同一次，变更后全部供货总量不超过协议库存采购量的135%。</w:t>
      </w:r>
    </w:p>
    <w:p>
      <w:pPr>
        <w:spacing w:beforeLines="100" w:afterLines="50"/>
        <w:outlineLvl w:val="1"/>
        <w:rPr>
          <w:rFonts w:ascii="黑体" w:hAnsi="Calibri" w:eastAsia="黑体"/>
          <w:b/>
          <w:sz w:val="24"/>
        </w:rPr>
      </w:pPr>
      <w:r>
        <w:rPr>
          <w:rFonts w:ascii="黑体" w:hAnsi="Calibri" w:eastAsia="黑体"/>
          <w:b/>
          <w:sz w:val="24"/>
        </w:rPr>
        <w:t>7.</w:t>
      </w:r>
      <w:r>
        <w:rPr>
          <w:rFonts w:hint="eastAsia" w:ascii="黑体" w:hAnsi="Calibri" w:eastAsia="黑体"/>
          <w:b/>
          <w:sz w:val="24"/>
        </w:rPr>
        <w:t>发布公告的媒介</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pPr>
        <w:tabs>
          <w:tab w:val="left" w:pos="1134"/>
        </w:tabs>
        <w:adjustRightInd w:val="0"/>
        <w:snapToGrid w:val="0"/>
        <w:spacing w:line="400" w:lineRule="exact"/>
        <w:ind w:firstLine="420" w:firstLineChars="200"/>
        <w:rPr>
          <w:rFonts w:ascii="宋体" w:hAnsi="宋体" w:eastAsia="宋体" w:cs="宋体"/>
        </w:rPr>
      </w:pPr>
      <w:bookmarkStart w:id="132" w:name="_bookmark8"/>
      <w:bookmarkEnd w:id="132"/>
      <w:bookmarkStart w:id="133" w:name="_Toc62222029"/>
      <w:bookmarkStart w:id="134" w:name="_Toc16274"/>
      <w:bookmarkStart w:id="135" w:name="_Toc62549192"/>
      <w:bookmarkStart w:id="136" w:name="_Toc28144"/>
      <w:bookmarkStart w:id="137" w:name="_Toc22190"/>
      <w:bookmarkStart w:id="138" w:name="_Toc62221761"/>
      <w:bookmarkStart w:id="139" w:name="_Toc62549136"/>
      <w:bookmarkStart w:id="140" w:name="_Toc2579"/>
      <w:bookmarkStart w:id="141" w:name="_Toc28489"/>
      <w:bookmarkStart w:id="142" w:name="_Toc27595"/>
      <w:bookmarkStart w:id="143" w:name="_Toc62222577"/>
      <w:bookmarkStart w:id="144" w:name="_Toc811"/>
      <w:bookmarkStart w:id="145" w:name="_Toc2902"/>
      <w:bookmarkStart w:id="146" w:name="_Toc30950"/>
      <w:bookmarkStart w:id="147" w:name="_Toc17309"/>
      <w:bookmarkStart w:id="148" w:name="_Toc62221470"/>
      <w:r>
        <w:rPr>
          <w:rFonts w:hint="eastAsia" w:ascii="宋体" w:hAnsi="宋体" w:eastAsia="宋体" w:cs="宋体"/>
        </w:rPr>
        <w:t>本次招标公告在招标人招投标交易平台信息系统、中国招标投标公共服务平台（</w:t>
      </w:r>
      <w:bookmarkStart w:id="149" w:name="_Hlk511312026"/>
      <w:r>
        <w:rPr>
          <w:rFonts w:ascii="宋体" w:hAnsi="宋体" w:eastAsia="宋体" w:cs="宋体"/>
        </w:rPr>
        <w:t>http://www.cebpubservice.c</w:t>
      </w:r>
      <w:bookmarkEnd w:id="149"/>
      <w:r>
        <w:rPr>
          <w:rFonts w:ascii="宋体" w:hAnsi="宋体" w:eastAsia="宋体" w:cs="宋体"/>
        </w:rPr>
        <w:t>n</w:t>
      </w:r>
      <w:r>
        <w:rPr>
          <w:rFonts w:hint="eastAsia" w:ascii="宋体" w:hAnsi="宋体" w:eastAsia="宋体" w:cs="宋体"/>
        </w:rPr>
        <w:t>）上发布。</w:t>
      </w:r>
    </w:p>
    <w:p>
      <w:pPr>
        <w:pStyle w:val="13"/>
        <w:ind w:firstLine="4200" w:firstLineChars="2000"/>
        <w:rPr>
          <w:sz w:val="21"/>
          <w:szCs w:val="22"/>
        </w:rPr>
      </w:pPr>
    </w:p>
    <w:p>
      <w:pPr>
        <w:adjustRightInd w:val="0"/>
        <w:snapToGrid w:val="0"/>
        <w:spacing w:beforeLines="100" w:afterLines="50"/>
        <w:outlineLvl w:val="1"/>
        <w:rPr>
          <w:rFonts w:ascii="黑体" w:hAnsi="Calibri" w:eastAsia="黑体"/>
          <w:b/>
          <w:sz w:val="24"/>
        </w:rPr>
      </w:pPr>
      <w:r>
        <w:rPr>
          <w:rFonts w:ascii="黑体" w:hAnsi="Calibri" w:eastAsia="黑体"/>
          <w:b/>
          <w:sz w:val="24"/>
        </w:rPr>
        <w:t>8.</w:t>
      </w:r>
      <w:r>
        <w:rPr>
          <w:rFonts w:hint="eastAsia" w:ascii="黑体" w:hAnsi="Calibri" w:eastAsia="黑体"/>
          <w:b/>
          <w:sz w:val="24"/>
        </w:rPr>
        <w:t>联系方式</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pPr>
        <w:tabs>
          <w:tab w:val="left" w:pos="1134"/>
        </w:tabs>
        <w:adjustRightInd w:val="0"/>
        <w:snapToGrid w:val="0"/>
        <w:spacing w:line="400" w:lineRule="exact"/>
        <w:ind w:firstLine="420" w:firstLineChars="200"/>
        <w:rPr>
          <w:rFonts w:hint="eastAsia" w:ascii="宋体" w:hAnsi="宋体" w:eastAsia="宋体" w:cs="宋体"/>
          <w:lang w:eastAsia="zh-CN"/>
        </w:rPr>
      </w:pPr>
      <w:bookmarkStart w:id="150" w:name="_Toc62221471"/>
      <w:bookmarkStart w:id="151" w:name="_Toc5492"/>
      <w:bookmarkStart w:id="152" w:name="_Toc62222030"/>
      <w:bookmarkStart w:id="153" w:name="_Toc62549193"/>
      <w:bookmarkStart w:id="154" w:name="_Toc5041"/>
      <w:bookmarkStart w:id="155" w:name="_Toc17389"/>
      <w:bookmarkStart w:id="156" w:name="_Toc62222578"/>
      <w:bookmarkStart w:id="157" w:name="_Toc4038"/>
      <w:bookmarkStart w:id="158" w:name="_Toc647"/>
      <w:bookmarkStart w:id="159" w:name="_Toc5543"/>
      <w:bookmarkStart w:id="160" w:name="_Toc9769"/>
      <w:bookmarkStart w:id="161" w:name="_Toc62221762"/>
      <w:bookmarkStart w:id="162" w:name="_Toc62549137"/>
      <w:bookmarkStart w:id="163" w:name="_Toc5800"/>
      <w:bookmarkStart w:id="164" w:name="_Toc20257"/>
      <w:bookmarkStart w:id="165" w:name="_Toc12187"/>
      <w:r>
        <w:rPr>
          <w:rFonts w:hint="eastAsia" w:ascii="宋体" w:hAnsi="宋体" w:eastAsia="宋体" w:cs="宋体"/>
        </w:rPr>
        <w:t>招标人</w:t>
      </w:r>
      <w:r>
        <w:rPr>
          <w:rFonts w:ascii="宋体" w:hAnsi="宋体" w:eastAsia="宋体" w:cs="宋体"/>
        </w:rPr>
        <w:t>:</w:t>
      </w:r>
      <w:r>
        <w:rPr>
          <w:rFonts w:hint="eastAsia" w:ascii="宋体" w:hAnsi="宋体" w:eastAsia="宋体" w:cs="宋体"/>
          <w:lang w:eastAsia="zh-CN"/>
        </w:rPr>
        <w:t>国网山西省电力有限公司</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地址</w:t>
      </w:r>
      <w:r>
        <w:rPr>
          <w:rFonts w:ascii="宋体" w:hAnsi="宋体" w:eastAsia="宋体" w:cs="宋体"/>
        </w:rPr>
        <w:t>:</w:t>
      </w:r>
      <w:r>
        <w:rPr>
          <w:rFonts w:hint="eastAsia" w:ascii="宋体" w:hAnsi="宋体" w:eastAsia="宋体" w:cs="宋体"/>
        </w:rPr>
        <w:t>太原市晋源区长风商务区谐园路</w:t>
      </w:r>
      <w:r>
        <w:rPr>
          <w:rFonts w:ascii="宋体" w:hAnsi="宋体" w:eastAsia="宋体" w:cs="宋体"/>
        </w:rPr>
        <w:t>3</w:t>
      </w:r>
      <w:r>
        <w:rPr>
          <w:rFonts w:hint="eastAsia" w:ascii="宋体" w:hAnsi="宋体" w:eastAsia="宋体" w:cs="宋体"/>
        </w:rPr>
        <w:t>号</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邮编：</w:t>
      </w:r>
      <w:r>
        <w:rPr>
          <w:rFonts w:ascii="宋体" w:hAnsi="宋体" w:eastAsia="宋体" w:cs="宋体"/>
        </w:rPr>
        <w:t>030000</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招标代理机构：国网山西招标有限公司</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地址：太原市长风街</w:t>
      </w:r>
      <w:r>
        <w:rPr>
          <w:rFonts w:ascii="宋体" w:hAnsi="宋体" w:eastAsia="宋体" w:cs="宋体"/>
        </w:rPr>
        <w:t>50</w:t>
      </w:r>
      <w:r>
        <w:rPr>
          <w:rFonts w:hint="eastAsia" w:ascii="宋体" w:hAnsi="宋体" w:eastAsia="宋体" w:cs="宋体"/>
        </w:rPr>
        <w:t>号晋联国际大厦</w:t>
      </w:r>
      <w:r>
        <w:rPr>
          <w:rFonts w:ascii="宋体" w:hAnsi="宋体" w:eastAsia="宋体" w:cs="宋体"/>
        </w:rPr>
        <w:t>24</w:t>
      </w:r>
      <w:r>
        <w:rPr>
          <w:rFonts w:hint="eastAsia" w:ascii="宋体" w:hAnsi="宋体" w:eastAsia="宋体" w:cs="宋体"/>
        </w:rPr>
        <w:t>层</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邮编：</w:t>
      </w:r>
      <w:r>
        <w:rPr>
          <w:rFonts w:ascii="宋体" w:hAnsi="宋体" w:eastAsia="宋体" w:cs="宋体"/>
        </w:rPr>
        <w:t>030000</w:t>
      </w:r>
    </w:p>
    <w:p>
      <w:pPr>
        <w:tabs>
          <w:tab w:val="left" w:pos="1134"/>
        </w:tabs>
        <w:adjustRightInd w:val="0"/>
        <w:snapToGrid w:val="0"/>
        <w:spacing w:line="400" w:lineRule="exact"/>
        <w:ind w:firstLine="420" w:firstLineChars="200"/>
        <w:rPr>
          <w:rFonts w:hint="eastAsia" w:ascii="宋体" w:hAnsi="宋体" w:eastAsia="宋体" w:cs="宋体"/>
          <w:lang w:val="en-US" w:eastAsia="zh-CN"/>
        </w:rPr>
      </w:pPr>
      <w:r>
        <w:rPr>
          <w:rFonts w:hint="eastAsia" w:ascii="宋体" w:hAnsi="宋体" w:eastAsia="宋体" w:cs="宋体"/>
        </w:rPr>
        <w:t xml:space="preserve">项目联系人： </w:t>
      </w:r>
      <w:r>
        <w:rPr>
          <w:rFonts w:hint="eastAsia" w:ascii="宋体" w:hAnsi="宋体" w:eastAsia="宋体" w:cs="宋体"/>
          <w:lang w:val="en-US" w:eastAsia="zh-CN"/>
        </w:rPr>
        <w:t xml:space="preserve">             </w:t>
      </w:r>
    </w:p>
    <w:p>
      <w:pPr>
        <w:tabs>
          <w:tab w:val="left" w:pos="1134"/>
        </w:tabs>
        <w:adjustRightInd w:val="0"/>
        <w:snapToGrid w:val="0"/>
        <w:spacing w:line="400" w:lineRule="exact"/>
        <w:ind w:firstLine="420" w:firstLineChars="200"/>
        <w:rPr>
          <w:rFonts w:hint="eastAsia" w:ascii="宋体" w:hAnsi="宋体" w:eastAsia="宋体" w:cs="宋体"/>
          <w:lang w:val="en-US" w:eastAsia="zh-CN"/>
        </w:rPr>
      </w:pPr>
      <w:r>
        <w:rPr>
          <w:rFonts w:hint="eastAsia" w:ascii="宋体" w:hAnsi="宋体" w:eastAsia="宋体" w:cs="宋体"/>
          <w:lang w:val="en-US" w:eastAsia="zh-CN"/>
        </w:rPr>
        <w:t>乔先生  0351-3722132</w:t>
      </w:r>
    </w:p>
    <w:p>
      <w:pPr>
        <w:pStyle w:val="2"/>
        <w:ind w:left="0" w:leftChars="0" w:firstLine="420" w:firstLineChars="200"/>
        <w:rPr>
          <w:rFonts w:hint="default"/>
          <w:lang w:val="en-US" w:eastAsia="zh-CN"/>
        </w:rPr>
      </w:pPr>
      <w:r>
        <w:rPr>
          <w:rFonts w:hint="eastAsia" w:ascii="宋体" w:hAnsi="宋体" w:cs="宋体"/>
          <w:lang w:val="en-US" w:eastAsia="zh-CN"/>
        </w:rPr>
        <w:t xml:space="preserve">刘先生  </w:t>
      </w:r>
      <w:r>
        <w:rPr>
          <w:rFonts w:hint="eastAsia" w:ascii="宋体" w:hAnsi="宋体" w:eastAsia="宋体" w:cs="宋体"/>
          <w:highlight w:val="none"/>
          <w:lang w:val="en-US" w:eastAsia="zh-CN"/>
        </w:rPr>
        <w:t>0351-3722230</w:t>
      </w:r>
    </w:p>
    <w:p>
      <w:pPr>
        <w:pStyle w:val="2"/>
        <w:spacing w:line="400" w:lineRule="exact"/>
        <w:ind w:left="0" w:firstLineChars="200"/>
        <w:rPr>
          <w:b/>
          <w:bCs/>
          <w:color w:val="0000FF"/>
          <w:highlight w:val="yellow"/>
        </w:rPr>
      </w:pPr>
      <w:r>
        <w:rPr>
          <w:rFonts w:hint="eastAsia"/>
          <w:b/>
          <w:bCs/>
          <w:color w:val="0000FF"/>
          <w:highlight w:val="yellow"/>
          <w:lang w:val="en-US"/>
        </w:rPr>
        <w:t>投标人</w:t>
      </w:r>
      <w:r>
        <w:rPr>
          <w:rFonts w:hint="eastAsia"/>
          <w:b/>
          <w:bCs/>
          <w:color w:val="0000FF"/>
          <w:highlight w:val="yellow"/>
          <w:lang w:val="en-US" w:eastAsia="zh-CN"/>
        </w:rPr>
        <w:t>对招标事项如有疑问，</w:t>
      </w:r>
      <w:r>
        <w:rPr>
          <w:rFonts w:hint="eastAsia"/>
          <w:b/>
          <w:bCs/>
          <w:color w:val="0000FF"/>
          <w:highlight w:val="yellow"/>
        </w:rPr>
        <w:t>可登录“云接标辅助工具”，点击“智能客服”进行咨询。</w:t>
      </w:r>
    </w:p>
    <w:p>
      <w:pPr>
        <w:pStyle w:val="2"/>
        <w:spacing w:line="400" w:lineRule="exact"/>
        <w:ind w:left="0" w:firstLineChars="200"/>
        <w:rPr>
          <w:b/>
          <w:bCs/>
          <w:color w:val="0000FF"/>
          <w:highlight w:val="yellow"/>
          <w:lang w:val="en-US"/>
        </w:rPr>
      </w:pPr>
      <w:r>
        <w:rPr>
          <w:rFonts w:hint="eastAsia"/>
          <w:b/>
          <w:bCs/>
          <w:color w:val="0000FF"/>
          <w:highlight w:val="yellow"/>
          <w:lang w:val="en-US"/>
        </w:rPr>
        <w:t>操作流程如下：</w:t>
      </w:r>
    </w:p>
    <w:p>
      <w:pPr>
        <w:pStyle w:val="2"/>
        <w:spacing w:line="400" w:lineRule="exact"/>
        <w:ind w:left="0" w:firstLineChars="200"/>
        <w:rPr>
          <w:rFonts w:hint="eastAsia"/>
          <w:b/>
          <w:bCs/>
          <w:color w:val="0000FF"/>
          <w:highlight w:val="yellow"/>
          <w:lang w:val="en-US"/>
        </w:rPr>
      </w:pPr>
      <w:r>
        <w:rPr>
          <w:rFonts w:hint="eastAsia"/>
          <w:b/>
          <w:bCs/>
          <w:color w:val="0000FF"/>
          <w:highlight w:val="yellow"/>
          <w:lang w:val="en-US" w:eastAsia="zh-CN"/>
        </w:rPr>
        <w:t>1、</w:t>
      </w:r>
      <w:r>
        <w:rPr>
          <w:rFonts w:hint="eastAsia"/>
          <w:b/>
          <w:bCs/>
          <w:color w:val="0000FF"/>
          <w:highlight w:val="yellow"/>
        </w:rPr>
        <w:t>投</w:t>
      </w:r>
      <w:r>
        <w:rPr>
          <w:rFonts w:hint="eastAsia"/>
          <w:b/>
          <w:bCs/>
          <w:color w:val="0000FF"/>
          <w:highlight w:val="yellow"/>
          <w:lang w:val="en-US"/>
        </w:rPr>
        <w:t>标人需在智能客服界面选择要咨询的项目，点击“咨询”进入问答界面，通过浏览常见问题进行快速解答；</w:t>
      </w:r>
    </w:p>
    <w:p>
      <w:pPr>
        <w:pStyle w:val="2"/>
        <w:spacing w:line="400" w:lineRule="exact"/>
        <w:ind w:left="0" w:firstLineChars="200"/>
        <w:rPr>
          <w:rFonts w:hint="default"/>
          <w:b/>
          <w:bCs/>
          <w:color w:val="0000FF"/>
          <w:highlight w:val="yellow"/>
          <w:lang w:val="en-US" w:eastAsia="zh-CN"/>
        </w:rPr>
      </w:pPr>
      <w:r>
        <w:rPr>
          <w:rFonts w:hint="eastAsia"/>
          <w:b/>
          <w:bCs/>
          <w:color w:val="0000FF"/>
          <w:highlight w:val="yellow"/>
          <w:lang w:val="en-US" w:eastAsia="zh-CN"/>
        </w:rPr>
        <w:t>2、如属于常见问题之外的问题，通过“智能客服”平台填写问题内容，项目经理每日定期进行集中解答，可适时留意问题答复；</w:t>
      </w:r>
    </w:p>
    <w:p>
      <w:pPr>
        <w:pStyle w:val="2"/>
        <w:spacing w:line="400" w:lineRule="exact"/>
        <w:ind w:left="0" w:firstLineChars="200"/>
        <w:rPr>
          <w:rFonts w:hint="default" w:eastAsia="宋体"/>
          <w:b/>
          <w:bCs/>
          <w:color w:val="0000FF"/>
          <w:highlight w:val="yellow"/>
          <w:lang w:val="en-US" w:eastAsia="zh-CN"/>
        </w:rPr>
      </w:pPr>
      <w:r>
        <w:rPr>
          <w:rFonts w:hint="eastAsia"/>
          <w:b/>
          <w:bCs/>
          <w:color w:val="0000FF"/>
          <w:highlight w:val="yellow"/>
          <w:lang w:val="en-US" w:eastAsia="zh-CN"/>
        </w:rPr>
        <w:t>3、客服电话：0351-3727412。如拨打客服电话，请在提示音后拨“1”招标问题。</w:t>
      </w:r>
    </w:p>
    <w:p>
      <w:pPr>
        <w:adjustRightInd w:val="0"/>
        <w:snapToGrid w:val="0"/>
        <w:spacing w:beforeLines="100" w:afterLines="50"/>
        <w:outlineLvl w:val="1"/>
        <w:rPr>
          <w:rFonts w:ascii="黑体" w:hAnsi="Calibri" w:eastAsia="黑体"/>
          <w:b/>
          <w:sz w:val="24"/>
        </w:rPr>
      </w:pPr>
      <w:r>
        <w:rPr>
          <w:rFonts w:ascii="黑体" w:hAnsi="Calibri" w:eastAsia="黑体"/>
          <w:b/>
          <w:sz w:val="24"/>
        </w:rPr>
        <w:t>9.</w:t>
      </w:r>
      <w:r>
        <w:rPr>
          <w:rFonts w:hint="eastAsia" w:ascii="黑体" w:hAnsi="Calibri" w:eastAsia="黑体"/>
          <w:b/>
          <w:sz w:val="24"/>
        </w:rPr>
        <w:t>合规声明</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本招标文件（包括商务部分和技术部分）符合国家现行法律法规规定，若国家颁布新的法律法规或对现有法律法规进行修订，以新施行的法律法规规定为准。</w:t>
      </w:r>
    </w:p>
    <w:p>
      <w:pPr>
        <w:adjustRightInd w:val="0"/>
        <w:snapToGrid w:val="0"/>
        <w:spacing w:beforeLines="100" w:afterLines="50"/>
        <w:outlineLvl w:val="1"/>
        <w:rPr>
          <w:rFonts w:ascii="黑体" w:hAnsi="Calibri" w:eastAsia="黑体"/>
          <w:b/>
          <w:sz w:val="24"/>
        </w:rPr>
      </w:pPr>
      <w:r>
        <w:rPr>
          <w:rFonts w:ascii="黑体" w:hAnsi="Calibri" w:eastAsia="黑体"/>
          <w:b/>
          <w:sz w:val="24"/>
        </w:rPr>
        <w:t>10.</w:t>
      </w:r>
      <w:r>
        <w:rPr>
          <w:rFonts w:hint="eastAsia" w:ascii="黑体" w:hAnsi="Calibri" w:eastAsia="黑体"/>
          <w:b/>
          <w:sz w:val="24"/>
        </w:rPr>
        <w:t>权利声明</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禁止对本招标文件或公示信息（依法必须招标项目的招标公告部分除外）进行任何形式的转载（包括但不限于部分或全文转载、修改后转载）或任何未经书面授权的使用。转载依法必须招标项目的招标公告或公示信息的，不得改变招标公告和公示信息的内容，须注明信息来源，不得用于非法用途。任何单位或个人不得违法转载（包括但不限于改变内容转载、转载不注明来源、遗漏或不及时转载修改或补充内容等）招标公告或公示信息、不得对招标公告或公示信息等内容进行不全面、不准确、不客观地分析或使用，任何单位或个人违法或违反本条规定转载、使用本招标文件或公示信息的，招标人将依法追究法律责任。</w:t>
      </w:r>
    </w:p>
    <w:p>
      <w:pPr>
        <w:wordWrap w:val="0"/>
        <w:ind w:firstLine="560" w:firstLineChars="200"/>
        <w:jc w:val="right"/>
        <w:rPr>
          <w:rFonts w:ascii="黑体" w:eastAsia="黑体"/>
          <w:sz w:val="28"/>
          <w:szCs w:val="28"/>
        </w:rPr>
      </w:pPr>
    </w:p>
    <w:p>
      <w:pPr>
        <w:tabs>
          <w:tab w:val="left" w:pos="1134"/>
        </w:tabs>
        <w:adjustRightInd w:val="0"/>
        <w:snapToGrid w:val="0"/>
        <w:spacing w:line="400" w:lineRule="exact"/>
        <w:ind w:firstLine="420" w:firstLineChars="200"/>
        <w:jc w:val="right"/>
        <w:rPr>
          <w:rFonts w:hint="eastAsia" w:ascii="宋体" w:hAnsi="宋体" w:eastAsia="宋体" w:cs="宋体"/>
          <w:lang w:eastAsia="zh-CN"/>
        </w:rPr>
        <w:sectPr>
          <w:footerReference r:id="rId9" w:type="default"/>
          <w:pgSz w:w="11906" w:h="16838"/>
          <w:pgMar w:top="1134" w:right="1800" w:bottom="1134" w:left="1800" w:header="851" w:footer="992" w:gutter="0"/>
          <w:pgNumType w:start="1"/>
          <w:cols w:space="720" w:num="1"/>
          <w:docGrid w:linePitch="312" w:charSpace="0"/>
        </w:sectPr>
      </w:pPr>
      <w:r>
        <w:rPr>
          <w:rFonts w:hint="eastAsia" w:ascii="宋体" w:hAnsi="宋体" w:eastAsia="宋体" w:cs="宋体"/>
          <w:lang w:eastAsia="zh-CN"/>
        </w:rPr>
        <w:t>202</w:t>
      </w:r>
      <w:r>
        <w:rPr>
          <w:rFonts w:hint="eastAsia" w:ascii="宋体" w:hAnsi="宋体" w:eastAsia="宋体" w:cs="宋体"/>
          <w:lang w:val="en-US" w:eastAsia="zh-CN"/>
        </w:rPr>
        <w:t>6</w:t>
      </w:r>
      <w:r>
        <w:rPr>
          <w:rFonts w:hint="eastAsia" w:ascii="宋体" w:hAnsi="宋体" w:eastAsia="宋体" w:cs="宋体"/>
          <w:lang w:eastAsia="zh-CN"/>
        </w:rPr>
        <w:t>年</w:t>
      </w:r>
      <w:r>
        <w:rPr>
          <w:rFonts w:hint="eastAsia" w:ascii="宋体" w:hAnsi="宋体" w:eastAsia="宋体" w:cs="宋体"/>
          <w:lang w:val="en-US" w:eastAsia="zh-CN"/>
        </w:rPr>
        <w:t>4</w:t>
      </w:r>
      <w:r>
        <w:rPr>
          <w:rFonts w:hint="eastAsia" w:ascii="宋体" w:hAnsi="宋体" w:eastAsia="宋体" w:cs="宋体"/>
          <w:lang w:eastAsia="zh-CN"/>
        </w:rPr>
        <w:t>月</w:t>
      </w:r>
      <w:r>
        <w:rPr>
          <w:rFonts w:hint="eastAsia" w:ascii="宋体" w:hAnsi="宋体" w:eastAsia="宋体" w:cs="宋体"/>
          <w:lang w:val="en-US" w:eastAsia="zh-CN"/>
        </w:rPr>
        <w:t>30</w:t>
      </w:r>
      <w:r>
        <w:rPr>
          <w:rFonts w:hint="eastAsia" w:ascii="宋体" w:hAnsi="宋体" w:eastAsia="宋体" w:cs="宋体"/>
          <w:lang w:eastAsia="zh-CN"/>
        </w:rPr>
        <w:t>日</w:t>
      </w:r>
    </w:p>
    <w:p>
      <w:pPr>
        <w:pStyle w:val="32"/>
        <w:rPr>
          <w:rFonts w:ascii="黑体" w:hAnsi="黑体" w:eastAsia="黑体" w:cs="黑体"/>
          <w:b/>
          <w:sz w:val="24"/>
          <w:szCs w:val="24"/>
          <w:lang w:val="en-US"/>
        </w:rPr>
      </w:pPr>
      <w:r>
        <w:rPr>
          <w:rFonts w:hint="eastAsia" w:ascii="黑体" w:hAnsi="黑体" w:eastAsia="黑体" w:cs="黑体"/>
          <w:b/>
          <w:sz w:val="24"/>
          <w:szCs w:val="24"/>
          <w:lang w:val="en-US"/>
        </w:rPr>
        <w:t>附件一：专用资质业绩要求</w:t>
      </w:r>
    </w:p>
    <w:p>
      <w:pPr>
        <w:pStyle w:val="32"/>
        <w:rPr>
          <w:rFonts w:ascii="黑体" w:hAnsi="黑体" w:eastAsia="黑体" w:cs="黑体"/>
          <w:b/>
          <w:sz w:val="24"/>
          <w:szCs w:val="24"/>
          <w:lang w:val="en-US"/>
        </w:rPr>
      </w:pPr>
    </w:p>
    <w:p>
      <w:pPr>
        <w:pStyle w:val="32"/>
        <w:rPr>
          <w:rFonts w:cs="宋体"/>
          <w:sz w:val="21"/>
          <w:szCs w:val="22"/>
          <w:lang w:val="en-US"/>
        </w:rPr>
      </w:pPr>
      <w:r>
        <w:rPr>
          <w:rFonts w:cs="宋体"/>
          <w:sz w:val="21"/>
          <w:szCs w:val="22"/>
          <w:lang w:val="en-US"/>
        </w:rPr>
        <w:t>1.</w:t>
      </w:r>
      <w:r>
        <w:rPr>
          <w:rFonts w:hint="eastAsia" w:cs="宋体"/>
          <w:sz w:val="21"/>
          <w:szCs w:val="22"/>
          <w:lang w:val="en-US"/>
        </w:rPr>
        <w:t>凡要求提供相关证明材料的，证明材料务必保证信息完整、字迹清晰，不要涂抹关键信息，证明材料为外文的，必须提供翻译件，专用资质业绩要求证明材料均需在技术投标文件中提供，因相关证明材料提供不规范造成的一切后果（包括且不限于否决、扣分等情形），由投标人自行承担。</w:t>
      </w:r>
    </w:p>
    <w:p>
      <w:pPr>
        <w:pStyle w:val="32"/>
        <w:rPr>
          <w:rFonts w:cs="宋体"/>
          <w:sz w:val="21"/>
          <w:szCs w:val="22"/>
          <w:lang w:val="en-US"/>
        </w:rPr>
      </w:pPr>
      <w:r>
        <w:rPr>
          <w:rFonts w:cs="宋体"/>
          <w:sz w:val="21"/>
          <w:szCs w:val="22"/>
          <w:lang w:val="en-US"/>
        </w:rPr>
        <w:t>2.</w:t>
      </w:r>
      <w:r>
        <w:rPr>
          <w:rFonts w:hint="eastAsia" w:cs="宋体"/>
          <w:sz w:val="21"/>
          <w:szCs w:val="22"/>
          <w:lang w:val="en-US"/>
        </w:rPr>
        <w:t>业绩以合同复印件、相对应的发票复印件为有效业绩（发票金额应与合同金额对应，多次开具发票的应同时提供）。对投标人提供的发票将通过国家税务总局全国增值税发票查验平台（网址：</w:t>
      </w:r>
      <w:r>
        <w:fldChar w:fldCharType="begin"/>
      </w:r>
      <w:r>
        <w:instrText xml:space="preserve"> HYPERLINK "https://inv-veri.chinatax.gov.cn/）进行网上查验，无法查验的发票视为无效。发票如无法查验，不被认定为有效业绩。如可辨认的业绩不满足专用资质业绩要求，招标人将否决其投标。对提供虚假发票的投标人，招标人否决其投标，并按照《国家电网有限公司供应商不良行为处理管理细则》将之列入黑名单处罚，同时上报国家电网有限公司在电子商务平台公布，且举报至当地税务机关。" </w:instrText>
      </w:r>
      <w:r>
        <w:fldChar w:fldCharType="separate"/>
      </w:r>
      <w:r>
        <w:rPr>
          <w:rFonts w:cs="宋体"/>
          <w:sz w:val="21"/>
          <w:szCs w:val="22"/>
          <w:lang w:val="en-US"/>
        </w:rPr>
        <w:t>https://inv-veri.chinatax.gov.cn/</w:t>
      </w:r>
      <w:r>
        <w:rPr>
          <w:rFonts w:hint="eastAsia" w:cs="宋体"/>
          <w:sz w:val="21"/>
          <w:szCs w:val="22"/>
          <w:lang w:val="en-US"/>
        </w:rPr>
        <w:t>）进行网上查验，无法查验的发票视为无效。发票如无法查验，不被认定为有效业绩。如可辨认的业绩不满足专用资质业绩要求，招标人将否决其投标。对提供虚假发票的投标人，招标人否决其投标，并按照《国家电网有限公司供应商关系管理办法》将之列入黑名单处罚，同时上报国家电网有限公司在电子商务平台公布，且举报至当地税务机关。</w:t>
      </w:r>
      <w:r>
        <w:rPr>
          <w:rFonts w:hint="eastAsia" w:cs="宋体"/>
          <w:sz w:val="21"/>
          <w:szCs w:val="22"/>
          <w:lang w:val="en-US"/>
        </w:rPr>
        <w:fldChar w:fldCharType="end"/>
      </w:r>
    </w:p>
    <w:p>
      <w:pPr>
        <w:pStyle w:val="32"/>
        <w:rPr>
          <w:rFonts w:cs="宋体"/>
          <w:sz w:val="21"/>
          <w:szCs w:val="22"/>
          <w:lang w:val="en-US"/>
        </w:rPr>
      </w:pPr>
      <w:r>
        <w:rPr>
          <w:rFonts w:cs="宋体"/>
          <w:sz w:val="21"/>
          <w:szCs w:val="22"/>
          <w:lang w:val="en-US"/>
        </w:rPr>
        <w:t>3.</w:t>
      </w:r>
      <w:r>
        <w:rPr>
          <w:rFonts w:hint="eastAsia" w:cs="宋体"/>
          <w:sz w:val="21"/>
          <w:szCs w:val="22"/>
          <w:lang w:val="en-US"/>
        </w:rPr>
        <w:t>业绩审定以合同签订时间为准，具体业绩数量以实际供货后开具的发票（复印件）为准。所有业绩支撑证明材料内容须保证清晰、可辨认且不得遮盖、涂抹。合同扫描件可提供合同封面、签字页及其货物清册即可，合同封面、签字页及其货物清册须一一对应。按时间顺序由远及近排列合同及发票扫描件，并制定目录。</w:t>
      </w:r>
    </w:p>
    <w:p>
      <w:pPr>
        <w:pStyle w:val="32"/>
        <w:rPr>
          <w:rFonts w:cs="宋体"/>
          <w:sz w:val="21"/>
          <w:szCs w:val="22"/>
          <w:lang w:val="en-US"/>
        </w:rPr>
      </w:pPr>
      <w:r>
        <w:rPr>
          <w:rFonts w:cs="宋体"/>
          <w:sz w:val="21"/>
          <w:szCs w:val="22"/>
          <w:lang w:val="en-US"/>
        </w:rPr>
        <w:t>4.</w:t>
      </w:r>
      <w:r>
        <w:rPr>
          <w:rFonts w:hint="eastAsia" w:cs="宋体"/>
          <w:sz w:val="21"/>
          <w:szCs w:val="22"/>
          <w:lang w:val="en-US"/>
        </w:rPr>
        <w:t>不予认可的业绩补充说明：</w:t>
      </w:r>
    </w:p>
    <w:p>
      <w:pPr>
        <w:pStyle w:val="32"/>
        <w:rPr>
          <w:rFonts w:cs="宋体"/>
          <w:sz w:val="21"/>
          <w:szCs w:val="22"/>
          <w:lang w:val="en-US"/>
        </w:rPr>
      </w:pPr>
      <w:r>
        <w:rPr>
          <w:rFonts w:hint="eastAsia" w:cs="宋体"/>
          <w:sz w:val="21"/>
          <w:szCs w:val="22"/>
          <w:lang w:val="en-US"/>
        </w:rPr>
        <w:t>①</w:t>
      </w:r>
      <w:r>
        <w:rPr>
          <w:rFonts w:cs="宋体"/>
          <w:sz w:val="21"/>
          <w:szCs w:val="22"/>
          <w:lang w:val="en-US"/>
        </w:rPr>
        <w:t>.</w:t>
      </w:r>
      <w:r>
        <w:rPr>
          <w:rFonts w:hint="eastAsia" w:cs="宋体"/>
          <w:sz w:val="21"/>
          <w:szCs w:val="22"/>
          <w:lang w:val="en-US"/>
        </w:rPr>
        <w:t>合同供货方和实际产品生产方均为投标人；</w:t>
      </w:r>
    </w:p>
    <w:p>
      <w:pPr>
        <w:pStyle w:val="32"/>
        <w:rPr>
          <w:rFonts w:cs="宋体"/>
          <w:sz w:val="21"/>
          <w:szCs w:val="22"/>
          <w:lang w:val="en-US"/>
        </w:rPr>
      </w:pPr>
      <w:r>
        <w:rPr>
          <w:rFonts w:hint="eastAsia" w:cs="宋体"/>
          <w:sz w:val="21"/>
          <w:szCs w:val="22"/>
          <w:lang w:val="en-US"/>
        </w:rPr>
        <w:t>②</w:t>
      </w:r>
      <w:r>
        <w:rPr>
          <w:rFonts w:cs="宋体"/>
          <w:sz w:val="21"/>
          <w:szCs w:val="22"/>
          <w:lang w:val="en-US"/>
        </w:rPr>
        <w:t>.</w:t>
      </w:r>
      <w:r>
        <w:rPr>
          <w:rFonts w:hint="eastAsia" w:cs="宋体"/>
          <w:sz w:val="21"/>
          <w:szCs w:val="22"/>
          <w:lang w:val="en-US"/>
        </w:rPr>
        <w:t>不认可的有（包括但不限于）：</w:t>
      </w:r>
    </w:p>
    <w:p>
      <w:pPr>
        <w:pStyle w:val="32"/>
        <w:rPr>
          <w:rFonts w:cs="宋体"/>
          <w:sz w:val="21"/>
          <w:szCs w:val="22"/>
          <w:lang w:val="en-US"/>
        </w:rPr>
      </w:pPr>
      <w:r>
        <w:rPr>
          <w:rFonts w:cs="宋体"/>
          <w:sz w:val="21"/>
          <w:szCs w:val="22"/>
          <w:lang w:val="en-US"/>
        </w:rPr>
        <w:t>a.</w:t>
      </w:r>
      <w:r>
        <w:rPr>
          <w:rFonts w:hint="eastAsia" w:cs="宋体"/>
          <w:sz w:val="21"/>
          <w:szCs w:val="22"/>
          <w:lang w:val="en-US"/>
        </w:rPr>
        <w:t>与同类产品制造厂之间的业绩；</w:t>
      </w:r>
    </w:p>
    <w:p>
      <w:pPr>
        <w:pStyle w:val="32"/>
        <w:rPr>
          <w:rFonts w:cs="宋体"/>
          <w:sz w:val="21"/>
          <w:szCs w:val="22"/>
          <w:lang w:val="en-US"/>
        </w:rPr>
      </w:pPr>
      <w:r>
        <w:rPr>
          <w:rFonts w:cs="宋体"/>
          <w:sz w:val="21"/>
          <w:szCs w:val="22"/>
          <w:lang w:val="en-US"/>
        </w:rPr>
        <w:t>b.</w:t>
      </w:r>
      <w:r>
        <w:rPr>
          <w:rFonts w:hint="eastAsia" w:cs="宋体"/>
          <w:sz w:val="21"/>
          <w:szCs w:val="22"/>
          <w:lang w:val="en-US"/>
        </w:rPr>
        <w:t>在试验室或试验站的业绩；</w:t>
      </w:r>
    </w:p>
    <w:p>
      <w:pPr>
        <w:pStyle w:val="32"/>
        <w:rPr>
          <w:rFonts w:cs="宋体"/>
          <w:sz w:val="21"/>
          <w:szCs w:val="22"/>
          <w:lang w:val="en-US"/>
        </w:rPr>
      </w:pPr>
      <w:r>
        <w:rPr>
          <w:rFonts w:cs="宋体"/>
          <w:sz w:val="21"/>
          <w:szCs w:val="22"/>
          <w:lang w:val="en-US"/>
        </w:rPr>
        <w:t>c.</w:t>
      </w:r>
      <w:r>
        <w:rPr>
          <w:rFonts w:hint="eastAsia" w:cs="宋体"/>
          <w:sz w:val="21"/>
          <w:szCs w:val="22"/>
          <w:lang w:val="en-US"/>
        </w:rPr>
        <w:t>与代理商之间的业绩；</w:t>
      </w:r>
    </w:p>
    <w:p>
      <w:pPr>
        <w:pStyle w:val="32"/>
        <w:rPr>
          <w:rFonts w:cs="宋体"/>
          <w:sz w:val="21"/>
          <w:szCs w:val="22"/>
          <w:lang w:val="en-US"/>
        </w:rPr>
      </w:pPr>
      <w:r>
        <w:rPr>
          <w:rFonts w:cs="宋体"/>
          <w:sz w:val="21"/>
          <w:szCs w:val="22"/>
          <w:lang w:val="en-US"/>
        </w:rPr>
        <w:t>d.</w:t>
      </w:r>
      <w:r>
        <w:rPr>
          <w:rFonts w:hint="eastAsia" w:cs="宋体"/>
          <w:sz w:val="21"/>
          <w:szCs w:val="22"/>
          <w:lang w:val="en-US"/>
        </w:rPr>
        <w:t>与非最终用户（即业主单位或负责所供货物运行、使用的单位以外的主体）签订的供货合同；</w:t>
      </w:r>
    </w:p>
    <w:p>
      <w:pPr>
        <w:pStyle w:val="32"/>
        <w:rPr>
          <w:rFonts w:cs="宋体"/>
          <w:sz w:val="21"/>
          <w:szCs w:val="22"/>
          <w:lang w:val="en-US"/>
        </w:rPr>
      </w:pPr>
      <w:r>
        <w:rPr>
          <w:rFonts w:cs="宋体"/>
          <w:sz w:val="21"/>
          <w:szCs w:val="22"/>
          <w:lang w:val="en-US"/>
        </w:rPr>
        <w:t>e.</w:t>
      </w:r>
      <w:r>
        <w:rPr>
          <w:rFonts w:hint="eastAsia" w:cs="宋体"/>
          <w:sz w:val="21"/>
          <w:szCs w:val="22"/>
          <w:lang w:val="en-US"/>
        </w:rPr>
        <w:t>出口业绩的外贸合同、发票、报关单及对应产品型号等信息资料难以核实或不全的。</w:t>
      </w:r>
    </w:p>
    <w:p>
      <w:pPr>
        <w:pStyle w:val="32"/>
        <w:rPr>
          <w:rFonts w:cs="宋体"/>
          <w:sz w:val="21"/>
          <w:szCs w:val="22"/>
          <w:lang w:val="en-US"/>
        </w:rPr>
      </w:pPr>
      <w:r>
        <w:rPr>
          <w:rFonts w:cs="宋体"/>
          <w:sz w:val="21"/>
          <w:szCs w:val="22"/>
          <w:lang w:val="en-US"/>
        </w:rPr>
        <w:t>5.</w:t>
      </w:r>
      <w:r>
        <w:rPr>
          <w:rFonts w:hint="eastAsia" w:cs="宋体"/>
          <w:sz w:val="21"/>
          <w:szCs w:val="22"/>
          <w:lang w:val="en-US"/>
        </w:rPr>
        <w:t>投标人类别：</w:t>
      </w:r>
    </w:p>
    <w:p>
      <w:pPr>
        <w:pStyle w:val="32"/>
        <w:rPr>
          <w:rFonts w:cs="宋体"/>
          <w:sz w:val="21"/>
          <w:szCs w:val="22"/>
          <w:lang w:val="en-US"/>
        </w:rPr>
      </w:pPr>
      <w:r>
        <w:rPr>
          <w:rFonts w:cs="宋体"/>
          <w:sz w:val="21"/>
          <w:szCs w:val="22"/>
          <w:lang w:val="en-US"/>
        </w:rPr>
        <w:t>A:</w:t>
      </w:r>
      <w:r>
        <w:rPr>
          <w:rFonts w:hint="eastAsia" w:cs="宋体"/>
          <w:sz w:val="21"/>
          <w:szCs w:val="22"/>
          <w:lang w:val="en-US"/>
        </w:rPr>
        <w:t>接受制造商投标：是指以原料或零组件（自制或外购），经生产、加工、集成、调试等工序，制成一系列产品的生产企业（接受制造商分公司参与投标，不接受制造商销售分公司）；</w:t>
      </w:r>
    </w:p>
    <w:p>
      <w:pPr>
        <w:pStyle w:val="32"/>
        <w:rPr>
          <w:rFonts w:hint="eastAsia" w:eastAsia="宋体" w:cs="宋体"/>
          <w:sz w:val="21"/>
          <w:szCs w:val="22"/>
          <w:lang w:val="en-US" w:eastAsia="zh-CN"/>
        </w:rPr>
      </w:pPr>
      <w:r>
        <w:rPr>
          <w:rFonts w:cs="宋体"/>
          <w:sz w:val="21"/>
          <w:szCs w:val="22"/>
          <w:lang w:val="en-US"/>
        </w:rPr>
        <w:t>B</w:t>
      </w:r>
      <w:r>
        <w:rPr>
          <w:rFonts w:hint="eastAsia" w:cs="宋体"/>
          <w:sz w:val="21"/>
          <w:szCs w:val="22"/>
          <w:lang w:val="en-US"/>
        </w:rPr>
        <w:t>：</w:t>
      </w:r>
      <w:r>
        <w:rPr>
          <w:rFonts w:hint="eastAsia" w:cs="宋体"/>
          <w:sz w:val="21"/>
          <w:szCs w:val="22"/>
          <w:lang w:val="en-US" w:eastAsia="zh-CN"/>
        </w:rPr>
        <w:t>接受集成商投标：</w:t>
      </w:r>
      <w:r>
        <w:rPr>
          <w:rFonts w:hint="eastAsia" w:cs="宋体"/>
          <w:sz w:val="21"/>
          <w:szCs w:val="22"/>
          <w:lang w:val="en-US"/>
        </w:rPr>
        <w:t>接受</w:t>
      </w:r>
      <w:r>
        <w:rPr>
          <w:rFonts w:hint="eastAsia" w:cs="宋体"/>
          <w:sz w:val="21"/>
          <w:szCs w:val="22"/>
          <w:lang w:val="en-US" w:eastAsia="zh-CN"/>
        </w:rPr>
        <w:t>制造商</w:t>
      </w:r>
      <w:r>
        <w:rPr>
          <w:rFonts w:hint="eastAsia" w:cs="宋体"/>
          <w:sz w:val="21"/>
          <w:szCs w:val="22"/>
          <w:lang w:val="en-US"/>
        </w:rPr>
        <w:t>或</w:t>
      </w:r>
      <w:r>
        <w:rPr>
          <w:rFonts w:hint="eastAsia" w:cs="宋体"/>
          <w:sz w:val="21"/>
          <w:szCs w:val="22"/>
          <w:lang w:val="en-US" w:eastAsia="zh-CN"/>
        </w:rPr>
        <w:t>集成商</w:t>
      </w:r>
      <w:r>
        <w:rPr>
          <w:rFonts w:hint="eastAsia" w:cs="宋体"/>
          <w:sz w:val="21"/>
          <w:szCs w:val="22"/>
          <w:lang w:val="en-US"/>
        </w:rPr>
        <w:t>投标</w:t>
      </w:r>
    </w:p>
    <w:p>
      <w:pPr>
        <w:pStyle w:val="32"/>
        <w:rPr>
          <w:rFonts w:cs="宋体"/>
          <w:sz w:val="21"/>
          <w:szCs w:val="22"/>
          <w:lang w:val="en-US"/>
        </w:rPr>
      </w:pPr>
      <w:r>
        <w:rPr>
          <w:rFonts w:hint="eastAsia" w:cs="宋体"/>
          <w:sz w:val="21"/>
          <w:szCs w:val="22"/>
          <w:lang w:val="en-US" w:eastAsia="zh-CN"/>
        </w:rPr>
        <w:t>C:</w:t>
      </w:r>
      <w:r>
        <w:rPr>
          <w:rFonts w:hint="eastAsia" w:cs="宋体"/>
          <w:sz w:val="21"/>
          <w:szCs w:val="22"/>
          <w:lang w:val="en-US"/>
        </w:rPr>
        <w:t>接受代理商投标：接受代理商或制造商投标：代理商必须取得制造商或国内总代理（仅进口产品）的授权；</w:t>
      </w:r>
    </w:p>
    <w:p>
      <w:pPr>
        <w:pStyle w:val="32"/>
        <w:rPr>
          <w:rFonts w:hint="eastAsia" w:cs="宋体"/>
          <w:sz w:val="21"/>
          <w:szCs w:val="22"/>
          <w:highlight w:val="none"/>
          <w:lang w:val="en-US"/>
        </w:rPr>
      </w:pPr>
      <w:r>
        <w:rPr>
          <w:rFonts w:hint="eastAsia" w:cs="宋体"/>
          <w:sz w:val="21"/>
          <w:szCs w:val="22"/>
          <w:lang w:val="en-US" w:eastAsia="zh-CN"/>
        </w:rPr>
        <w:t>D:</w:t>
      </w:r>
      <w:r>
        <w:rPr>
          <w:rFonts w:hint="eastAsia" w:cs="宋体"/>
          <w:sz w:val="21"/>
          <w:szCs w:val="22"/>
          <w:lang w:val="en-US"/>
        </w:rPr>
        <w:t>接受集货商投标：可以接受集货商、代理商或制造商投标，代理商未提供制造商或国内总代理（仅</w:t>
      </w:r>
      <w:r>
        <w:rPr>
          <w:rFonts w:hint="eastAsia" w:cs="宋体"/>
          <w:sz w:val="21"/>
          <w:szCs w:val="22"/>
          <w:highlight w:val="none"/>
          <w:lang w:val="en-US"/>
        </w:rPr>
        <w:t>进口产品）有效授权的视为集货商。</w:t>
      </w:r>
    </w:p>
    <w:p>
      <w:pPr>
        <w:pStyle w:val="32"/>
        <w:rPr>
          <w:rFonts w:hint="eastAsia" w:eastAsia="宋体" w:cs="宋体"/>
          <w:sz w:val="21"/>
          <w:szCs w:val="22"/>
          <w:highlight w:val="none"/>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r>
        <w:rPr>
          <w:rFonts w:hint="eastAsia" w:ascii="黑体" w:hAnsi="黑体" w:eastAsia="黑体" w:cs="黑体"/>
          <w:b/>
          <w:sz w:val="24"/>
          <w:szCs w:val="24"/>
          <w:lang w:val="en-US" w:eastAsia="zh-CN"/>
        </w:rPr>
        <w:object>
          <v:shape id="_x0000_i1026" o:spt="75" type="#_x0000_t75" style="height:66pt;width:72.75pt;" o:ole="t" filled="f" o:preferrelative="t" stroked="f" coordsize="21600,21600">
            <v:path/>
            <v:fill on="f" focussize="0,0"/>
            <v:stroke on="f"/>
            <v:imagedata r:id="rId16" o:title=""/>
            <o:lock v:ext="edit" aspectratio="t"/>
            <w10:wrap type="none"/>
            <w10:anchorlock/>
          </v:shape>
          <o:OLEObject Type="Embed" ProgID="Excel.Sheet.8" ShapeID="_x0000_i1026" DrawAspect="Icon" ObjectID="_1468075726" r:id="rId15">
            <o:LockedField>false</o:LockedField>
          </o:OLEObject>
        </w:object>
      </w: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bookmarkStart w:id="166" w:name="_GoBack"/>
      <w:bookmarkEnd w:id="166"/>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jc w:val="center"/>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0526AB项目重要事项提醒</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lang w:val="en-US" w:eastAsia="zh-CN"/>
        </w:rPr>
        <w:t>投标人需同时在商务文件中提供在国家企业信用信息公示系统（www.gsxt.gov.cn）查询的，包含“营业执照信息”、“列入严重违法失信名单（黑名单）信息”、“列入经营异常名录信</w:t>
      </w:r>
      <w:r>
        <w:rPr>
          <w:rFonts w:hint="eastAsia" w:ascii="宋体" w:hAnsi="宋体" w:eastAsia="宋体" w:cs="宋体"/>
          <w:b w:val="0"/>
          <w:bCs w:val="0"/>
          <w:color w:val="auto"/>
          <w:sz w:val="21"/>
          <w:szCs w:val="21"/>
          <w:lang w:val="en-US" w:eastAsia="zh-CN"/>
        </w:rPr>
        <w:t>息”、“</w:t>
      </w:r>
      <w:r>
        <w:rPr>
          <w:rFonts w:hint="eastAsia" w:ascii="宋体" w:hAnsi="宋体" w:eastAsia="宋体" w:cs="宋体"/>
          <w:b w:val="0"/>
          <w:bCs w:val="0"/>
          <w:color w:val="auto"/>
          <w:sz w:val="21"/>
          <w:szCs w:val="21"/>
          <w:highlight w:val="none"/>
          <w:lang w:val="en-US" w:eastAsia="zh-CN"/>
        </w:rPr>
        <w:t>行政处罚信息”、“清算信息”的查询结果</w:t>
      </w:r>
      <w:r>
        <w:rPr>
          <w:rFonts w:hint="eastAsia" w:ascii="宋体" w:hAnsi="宋体" w:eastAsia="宋体" w:cs="宋体"/>
          <w:szCs w:val="21"/>
          <w:highlight w:val="none"/>
        </w:rPr>
        <w:t>（查询日期应在投标截止日前</w:t>
      </w:r>
      <w:r>
        <w:rPr>
          <w:rFonts w:hint="eastAsia" w:ascii="宋体" w:hAnsi="宋体" w:eastAsia="宋体" w:cs="宋体"/>
          <w:b/>
          <w:bCs/>
          <w:color w:val="FF0000"/>
          <w:szCs w:val="21"/>
          <w:highlight w:val="none"/>
          <w:lang w:val="en-US" w:eastAsia="zh-CN"/>
        </w:rPr>
        <w:t>20</w:t>
      </w:r>
      <w:r>
        <w:rPr>
          <w:rFonts w:hint="eastAsia" w:ascii="宋体" w:hAnsi="宋体" w:eastAsia="宋体" w:cs="宋体"/>
          <w:b/>
          <w:bCs/>
          <w:color w:val="FF0000"/>
          <w:szCs w:val="21"/>
          <w:highlight w:val="none"/>
        </w:rPr>
        <w:t>天内</w:t>
      </w:r>
      <w:r>
        <w:rPr>
          <w:rFonts w:hint="eastAsia" w:ascii="宋体" w:hAnsi="宋体" w:eastAsia="宋体" w:cs="宋体"/>
          <w:szCs w:val="21"/>
          <w:highlight w:val="none"/>
        </w:rPr>
        <w:t>，查询结果应为网站自动生成的PDF文件）</w:t>
      </w:r>
      <w:r>
        <w:rPr>
          <w:rFonts w:hint="eastAsia" w:ascii="宋体" w:hAnsi="宋体" w:eastAsia="宋体" w:cs="宋体"/>
          <w:b w:val="0"/>
          <w:bCs w:val="0"/>
          <w:color w:val="auto"/>
          <w:sz w:val="21"/>
          <w:szCs w:val="21"/>
          <w:highlight w:val="none"/>
          <w:lang w:val="en-US" w:eastAsia="zh-CN"/>
        </w:rPr>
        <w:t>。投标人未提供或提供的企业信用信息公示报告不符合招标文件规定的格式与内容的，评标委员会将会对投标人进行不利评价。投标人提供虚假企业信用信息公示报告的，按照虚假投标进行否决，并根据《国家电网有限公司供应商关系管理办法》进行相应处理。</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highlight w:val="none"/>
          <w:lang w:val="en-US" w:eastAsia="zh-CN"/>
        </w:rPr>
      </w:pPr>
      <w:r>
        <w:rPr>
          <w:rFonts w:hint="eastAsia" w:ascii="宋体" w:hAnsi="宋体" w:eastAsia="宋体" w:cs="宋体"/>
          <w:b w:val="0"/>
          <w:bCs w:val="0"/>
          <w:color w:val="auto"/>
          <w:highlight w:val="none"/>
          <w:lang w:val="en-US" w:eastAsia="zh-CN"/>
        </w:rPr>
        <w:t>本次</w:t>
      </w:r>
      <w:r>
        <w:rPr>
          <w:rFonts w:hint="eastAsia" w:ascii="宋体" w:hAnsi="宋体" w:eastAsia="宋体" w:cs="宋体"/>
          <w:b/>
          <w:bCs/>
          <w:color w:val="FF0000"/>
          <w:highlight w:val="none"/>
          <w:lang w:val="en-US" w:eastAsia="zh-CN"/>
        </w:rPr>
        <w:t>无须缴纳投标保证金</w:t>
      </w:r>
      <w:r>
        <w:rPr>
          <w:rFonts w:hint="eastAsia" w:ascii="宋体" w:hAnsi="宋体" w:eastAsia="宋体" w:cs="宋体"/>
          <w:b/>
          <w:bCs/>
          <w:color w:val="FF0000"/>
          <w:highlight w:val="none"/>
          <w:lang w:val="en-US"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投标人要求澄清招标文件时间为投标截止时间</w:t>
      </w:r>
      <w:r>
        <w:rPr>
          <w:rFonts w:hint="eastAsia" w:ascii="宋体" w:hAnsi="宋体" w:eastAsia="宋体" w:cs="宋体"/>
          <w:b/>
          <w:bCs/>
          <w:color w:val="FF0000"/>
          <w:sz w:val="21"/>
          <w:szCs w:val="21"/>
          <w:highlight w:val="none"/>
          <w:lang w:val="en-US" w:eastAsia="zh-CN"/>
        </w:rPr>
        <w:t>15日</w:t>
      </w:r>
      <w:r>
        <w:rPr>
          <w:rFonts w:hint="eastAsia" w:ascii="宋体" w:hAnsi="宋体" w:eastAsia="宋体" w:cs="宋体"/>
          <w:sz w:val="21"/>
          <w:szCs w:val="21"/>
          <w:highlight w:val="none"/>
          <w:lang w:val="en-US" w:eastAsia="zh-CN"/>
        </w:rPr>
        <w:t>前。</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22" w:firstLineChars="200"/>
        <w:textAlignment w:val="auto"/>
        <w:rPr>
          <w:rFonts w:hint="eastAsia" w:ascii="宋体" w:hAnsi="宋体" w:eastAsia="宋体" w:cs="宋体"/>
          <w:highlight w:val="none"/>
          <w:lang w:val="en-US" w:eastAsia="zh-CN"/>
        </w:rPr>
      </w:pPr>
      <w:r>
        <w:rPr>
          <w:rFonts w:hint="eastAsia" w:ascii="宋体" w:hAnsi="宋体" w:eastAsia="宋体" w:cs="宋体"/>
          <w:b/>
          <w:bCs/>
          <w:color w:val="FF0000"/>
          <w:highlight w:val="none"/>
          <w:lang w:val="en-US" w:eastAsia="zh-CN"/>
        </w:rPr>
        <w:t>资格预审合格的申请人</w:t>
      </w:r>
      <w:r>
        <w:rPr>
          <w:rFonts w:hint="eastAsia" w:ascii="宋体" w:hAnsi="宋体" w:eastAsia="宋体" w:cs="宋体"/>
          <w:kern w:val="2"/>
          <w:sz w:val="21"/>
          <w:szCs w:val="21"/>
          <w:highlight w:val="none"/>
          <w:lang w:val="en-US" w:eastAsia="zh-CN" w:bidi="ar"/>
        </w:rPr>
        <w:t>指的是：</w:t>
      </w:r>
      <w:r>
        <w:rPr>
          <w:rFonts w:hint="eastAsia" w:ascii="宋体" w:hAnsi="宋体" w:eastAsia="宋体" w:cs="宋体"/>
          <w:b/>
          <w:bCs/>
          <w:color w:val="FF0000"/>
          <w:highlight w:val="none"/>
          <w:lang w:val="en-US" w:eastAsia="zh-CN"/>
        </w:rPr>
        <w:t>取得资格预审结果通知书（其中所投标包对应的物资类别结果为合格）的申请人。</w:t>
      </w:r>
      <w:r>
        <w:rPr>
          <w:rFonts w:hint="eastAsia" w:ascii="宋体" w:hAnsi="宋体" w:eastAsia="宋体" w:cs="宋体"/>
          <w:kern w:val="2"/>
          <w:sz w:val="21"/>
          <w:szCs w:val="21"/>
          <w:highlight w:val="none"/>
          <w:lang w:val="en-US" w:eastAsia="zh-CN" w:bidi="ar"/>
        </w:rPr>
        <w:t>取得资格预审结果通知书需要满足如下条件：</w:t>
      </w:r>
      <w:r>
        <w:rPr>
          <w:rFonts w:hint="eastAsia" w:ascii="宋体" w:hAnsi="宋体" w:eastAsia="宋体" w:cs="宋体"/>
          <w:b/>
          <w:bCs/>
          <w:color w:val="FF0000"/>
          <w:highlight w:val="none"/>
          <w:lang w:val="en-US" w:eastAsia="zh-CN"/>
        </w:rPr>
        <w:t>①参加资格预审审查并合格；②参加资质能力核实或补充资质能力核实并合格</w:t>
      </w:r>
      <w:r>
        <w:rPr>
          <w:rFonts w:hint="eastAsia" w:ascii="宋体" w:hAnsi="宋体" w:eastAsia="宋体" w:cs="宋体"/>
          <w:highlight w:val="none"/>
          <w:lang w:val="en-US"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同一投标人对同一分标下同一物料编码同一技术规范编码的采购申请行单价的投标报价应保持一致。否则将做否决处理。</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评标过程中，评标委员会可以书面形式要求投标人对投标文件中投标报价可能低于成本影响履约的内容、投标文件异常一致、投标活动异常关联的情形，作出必要的澄清、说明或补正。投标人应提供项目具体成本测算与报价合理性相关的书面说明及必要证明材料，明确是否影响后续履约。</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其中“低于成本”的标准为，出现下列情形之一的：1.投标（响应）行报价低于全部通过符合性审查供应商的投标（响应）的行报价平均值50%的，即投标（响应）行报价&lt;全部通过符合性审查供应商投标（响应）行报价平均值×50%”；“2.投标（响应）行报价低于采购项目最高限价45%的，即投标（响应）行报价&lt;采购项目最高限价×45%”作为异常低价判断标准执行。3.评标委员会基于专业判断，认为供应商报价过低，有可能影响产品质量或者不能诚信履约的其他情形。</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在评标过程所有澄清未按照规定内容、规定时间回复，视为无效。</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sz w:val="21"/>
          <w:szCs w:val="21"/>
          <w:lang w:val="en-US" w:eastAsia="zh-CN"/>
        </w:rPr>
        <w:t>评标阶段的澄清从发出到回复均是在招投标交易平台信息系统完成。</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7、投标人在国家电网有限公司电子商务平台（https://ecp.sgcc.com.cn）中填写报名信息时，注意联系地址需精确至门牌号，例如：xx省xx市xx区xx镇xx村xx组。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8、临近开标时集中上传投标文件可能导致系统承载力不足，请投标人务必合理安排投标文件上传时间。</w:t>
      </w: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sectPr>
      <w:headerReference r:id="rId10" w:type="default"/>
      <w:footerReference r:id="rId11" w:type="default"/>
      <w:footnotePr>
        <w:pos w:val="beneathText"/>
      </w:footnotePr>
      <w:pgSz w:w="11906" w:h="16838"/>
      <w:pgMar w:top="1797" w:right="1440" w:bottom="1797" w:left="1440" w:header="851" w:footer="851" w:gutter="0"/>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JhengHei">
    <w:panose1 w:val="020B0604030504040204"/>
    <w:charset w:val="88"/>
    <w:family w:val="swiss"/>
    <w:pitch w:val="default"/>
    <w:sig w:usb0="0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 w:name="方正小标宋_GBK">
    <w:panose1 w:val="03000509000000000000"/>
    <w:charset w:val="86"/>
    <w:family w:val="auto"/>
    <w:pitch w:val="default"/>
    <w:sig w:usb0="00000001" w:usb1="080E0000" w:usb2="00000000" w:usb3="00000000" w:csb0="00040000" w:csb1="00000000"/>
  </w:font>
  <w:font w:name="MS Gothic">
    <w:panose1 w:val="020B0609070205080204"/>
    <w:charset w:val="80"/>
    <w:family w:val="modern"/>
    <w:pitch w:val="default"/>
    <w:sig w:usb0="E00002FF" w:usb1="6AC7FDFB" w:usb2="08000012" w:usb3="00000000" w:csb0="4002009F" w:csb1="DFD70000"/>
  </w:font>
  <w:font w:name="方正仿宋_GBK">
    <w:panose1 w:val="03000509000000000000"/>
    <w:charset w:val="86"/>
    <w:family w:val="auto"/>
    <w:pitch w:val="default"/>
    <w:sig w:usb0="00000001" w:usb1="080E0000" w:usb2="00000000" w:usb3="00000000" w:csb0="00040000" w:csb1="00000000"/>
  </w:font>
  <w:font w:name="方正黑体_GBK">
    <w:panose1 w:val="0201060001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auto"/>
    <w:pitch w:val="default"/>
    <w:sig w:usb0="00000000" w:usb1="00000000" w:usb2="00000000" w:usb3="00000000" w:csb0="00040000" w:csb1="00000000"/>
  </w:font>
  <w:font w:name="DengXian Western">
    <w:altName w:val="Segoe Print"/>
    <w:panose1 w:val="00000000000000000000"/>
    <w:charset w:val="00"/>
    <w:family w:val="auto"/>
    <w:pitch w:val="default"/>
    <w:sig w:usb0="00000000" w:usb1="00000000" w:usb2="00000000" w:usb3="00000000" w:csb0="00000001" w:csb1="00000000"/>
  </w:font>
  <w:font w:name="Plotter">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jc w:val="center"/>
    </w:pPr>
    <w:r>
      <w:fldChar w:fldCharType="begin"/>
    </w:r>
    <w:r>
      <w:instrText xml:space="preserve"> PAGE   \* MERGEFORMAT </w:instrText>
    </w:r>
    <w:r>
      <w:fldChar w:fldCharType="separate"/>
    </w:r>
    <w:r>
      <w:t>97</w:t>
    </w:r>
    <w:r>
      <w:fldChar w:fldCharType="end"/>
    </w:r>
  </w:p>
  <w:p>
    <w:pPr>
      <w:pStyle w:val="14"/>
      <w:spacing w:line="14" w:lineRule="auto"/>
      <w:ind w:firstLine="240"/>
      <w:rPr>
        <w:sz w:val="1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rPr>
        <w:rFonts w:eastAsia="宋体"/>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rPr>
        <w:rFonts w:eastAsia="宋体"/>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a:effectLst/>
                    </wps:spPr>
                    <wps:txbx>
                      <w:txbxContent>
                        <w:p>
                          <w:pPr>
                            <w:pStyle w:val="16"/>
                            <w:rPr>
                              <w:rFonts w:eastAsia="宋体"/>
                            </w:rPr>
                          </w:pPr>
                          <w:r>
                            <w:rPr>
                              <w:rFonts w:eastAsia="宋体"/>
                            </w:rPr>
                            <w:fldChar w:fldCharType="begin"/>
                          </w:r>
                          <w:r>
                            <w:rPr>
                              <w:rFonts w:eastAsia="宋体"/>
                            </w:rPr>
                            <w:instrText xml:space="preserve"> PAGE  \* MERGEFORMAT </w:instrText>
                          </w:r>
                          <w:r>
                            <w:rPr>
                              <w:rFonts w:eastAsia="宋体"/>
                            </w:rPr>
                            <w:fldChar w:fldCharType="separate"/>
                          </w:r>
                          <w:r>
                            <w:rPr>
                              <w:rFonts w:eastAsia="宋体"/>
                            </w:rPr>
                            <w:t>1</w:t>
                          </w:r>
                          <w:r>
                            <w:rPr>
                              <w:rFonts w:eastAsia="宋体"/>
                            </w:rP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4vdRNAAAAACAQAADwAAAAAAAAABACAAAAAiAAAAZHJz&#10;L2Rvd25yZXYueG1sUEsBAhQAFAAAAAgAh07iQJsEqYbTAQAApAMAAA4AAAAAAAAAAQAgAAAAHwEA&#10;AGRycy9lMm9Eb2MueG1sUEsFBgAAAAAGAAYAWQEAAGQFAAAAAA==&#10;">
              <v:fill on="f" focussize="0,0"/>
              <v:stroke on="f"/>
              <v:imagedata o:title=""/>
              <o:lock v:ext="edit" aspectratio="f"/>
              <v:textbox inset="0mm,0mm,0mm,0mm" style="mso-fit-shape-to-text:t;">
                <w:txbxContent>
                  <w:p>
                    <w:pPr>
                      <w:pStyle w:val="16"/>
                      <w:rPr>
                        <w:rFonts w:eastAsia="宋体"/>
                      </w:rPr>
                    </w:pPr>
                    <w:r>
                      <w:rPr>
                        <w:rFonts w:eastAsia="宋体"/>
                      </w:rPr>
                      <w:fldChar w:fldCharType="begin"/>
                    </w:r>
                    <w:r>
                      <w:rPr>
                        <w:rFonts w:eastAsia="宋体"/>
                      </w:rPr>
                      <w:instrText xml:space="preserve"> PAGE  \* MERGEFORMAT </w:instrText>
                    </w:r>
                    <w:r>
                      <w:rPr>
                        <w:rFonts w:eastAsia="宋体"/>
                      </w:rPr>
                      <w:fldChar w:fldCharType="separate"/>
                    </w:r>
                    <w:r>
                      <w:rPr>
                        <w:rFonts w:eastAsia="宋体"/>
                      </w:rPr>
                      <w:t>1</w:t>
                    </w:r>
                    <w:r>
                      <w:rPr>
                        <w:rFonts w:eastAsia="宋体"/>
                      </w:rPr>
                      <w:fldChar w:fldCharType="end"/>
                    </w:r>
                  </w:p>
                </w:txbxContent>
              </v:textbox>
            </v:shape>
          </w:pict>
        </mc:Fallback>
      </mc:AlternateContent>
    </w:r>
    <w:r>
      <w:t xml:space="preserve">     </w:t>
    </w:r>
  </w:p>
  <w:p>
    <w:pPr>
      <w:pStyle w:val="1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jc w:val="center"/>
    </w:pPr>
    <w:r>
      <w:fldChar w:fldCharType="begin"/>
    </w:r>
    <w:r>
      <w:instrText xml:space="preserve"> PAGE   \* MERGEFORMAT </w:instrText>
    </w:r>
    <w:r>
      <w:fldChar w:fldCharType="separate"/>
    </w:r>
    <w:r>
      <w:t>97</w:t>
    </w:r>
    <w:r>
      <w:fldChar w:fldCharType="end"/>
    </w:r>
  </w:p>
  <w:p>
    <w:pPr>
      <w:pStyle w:val="14"/>
      <w:spacing w:line="14" w:lineRule="auto"/>
      <w:ind w:firstLine="240"/>
      <w:rPr>
        <w:sz w:val="1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rPr>
        <w:rFonts w:eastAsia="宋体"/>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rPr>
        <w:rFonts w:eastAsia="宋体"/>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73A55A"/>
    <w:multiLevelType w:val="singleLevel"/>
    <w:tmpl w:val="CA73A55A"/>
    <w:lvl w:ilvl="0" w:tentative="0">
      <w:start w:val="1"/>
      <w:numFmt w:val="decimal"/>
      <w:suff w:val="nothing"/>
      <w:lvlText w:val="%1、"/>
      <w:lvlJc w:val="left"/>
      <w:pPr>
        <w:ind w:left="418"/>
      </w:pPr>
      <w:rPr>
        <w:rFonts w:hint="default" w:ascii="Times New Roman" w:hAnsi="Times New Roman" w:cs="Times New Roman"/>
      </w:rPr>
    </w:lvl>
  </w:abstractNum>
  <w:abstractNum w:abstractNumId="1">
    <w:nsid w:val="5AA9370F"/>
    <w:multiLevelType w:val="multilevel"/>
    <w:tmpl w:val="5AA9370F"/>
    <w:lvl w:ilvl="0" w:tentative="0">
      <w:start w:val="1"/>
      <w:numFmt w:val="decimal"/>
      <w:pStyle w:val="7"/>
      <w:lvlText w:val="%1."/>
      <w:lvlJc w:val="left"/>
      <w:pPr>
        <w:ind w:left="227" w:hanging="227"/>
      </w:pPr>
      <w:rPr>
        <w:rFonts w:ascii="等线" w:hAnsi="等线" w:eastAsia="等线" w:cs="Times New Roman"/>
      </w:rPr>
    </w:lvl>
    <w:lvl w:ilvl="1" w:tentative="0">
      <w:start w:val="1"/>
      <w:numFmt w:val="lowerLetter"/>
      <w:suff w:val="space"/>
      <w:lvlText w:val="%2."/>
      <w:lvlJc w:val="left"/>
      <w:pPr>
        <w:ind w:left="680" w:hanging="226"/>
      </w:pPr>
      <w:rPr>
        <w:rFonts w:hint="default" w:ascii="Times New Roman" w:hAnsi="Times New Roman" w:cs="Times New Roman"/>
      </w:rPr>
    </w:lvl>
    <w:lvl w:ilvl="2" w:tentative="0">
      <w:start w:val="1"/>
      <w:numFmt w:val="lowerRoman"/>
      <w:suff w:val="space"/>
      <w:lvlText w:val="%3."/>
      <w:lvlJc w:val="left"/>
      <w:pPr>
        <w:ind w:left="1134" w:hanging="226"/>
      </w:pPr>
      <w:rPr>
        <w:rFonts w:hint="eastAsia" w:cs="Times New Roman"/>
      </w:rPr>
    </w:lvl>
    <w:lvl w:ilvl="3" w:tentative="0">
      <w:start w:val="1"/>
      <w:numFmt w:val="decimal"/>
      <w:suff w:val="space"/>
      <w:lvlText w:val="%4."/>
      <w:lvlJc w:val="left"/>
      <w:pPr>
        <w:ind w:left="1588" w:hanging="226"/>
      </w:pPr>
      <w:rPr>
        <w:rFonts w:hint="eastAsia" w:cs="Times New Roman"/>
      </w:rPr>
    </w:lvl>
    <w:lvl w:ilvl="4" w:tentative="0">
      <w:start w:val="1"/>
      <w:numFmt w:val="lowerLetter"/>
      <w:suff w:val="space"/>
      <w:lvlText w:val="%5."/>
      <w:lvlJc w:val="left"/>
      <w:pPr>
        <w:ind w:left="2041" w:hanging="225"/>
      </w:pPr>
      <w:rPr>
        <w:rFonts w:hint="eastAsia" w:cs="Times New Roman"/>
      </w:rPr>
    </w:lvl>
    <w:lvl w:ilvl="5" w:tentative="0">
      <w:start w:val="1"/>
      <w:numFmt w:val="lowerRoman"/>
      <w:suff w:val="space"/>
      <w:lvlText w:val="%6."/>
      <w:lvlJc w:val="left"/>
      <w:pPr>
        <w:ind w:left="2495" w:hanging="225"/>
      </w:pPr>
      <w:rPr>
        <w:rFonts w:hint="eastAsia" w:cs="Times New Roman"/>
      </w:rPr>
    </w:lvl>
    <w:lvl w:ilvl="6" w:tentative="0">
      <w:start w:val="1"/>
      <w:numFmt w:val="decimal"/>
      <w:suff w:val="space"/>
      <w:lvlText w:val="%7."/>
      <w:lvlJc w:val="left"/>
      <w:pPr>
        <w:ind w:left="2948" w:hanging="224"/>
      </w:pPr>
      <w:rPr>
        <w:rFonts w:hint="eastAsia" w:cs="Times New Roman"/>
      </w:rPr>
    </w:lvl>
    <w:lvl w:ilvl="7" w:tentative="0">
      <w:start w:val="1"/>
      <w:numFmt w:val="lowerLetter"/>
      <w:suff w:val="space"/>
      <w:lvlText w:val="%8."/>
      <w:lvlJc w:val="left"/>
      <w:pPr>
        <w:ind w:left="3402" w:hanging="224"/>
      </w:pPr>
      <w:rPr>
        <w:rFonts w:hint="eastAsia" w:cs="Times New Roman"/>
      </w:rPr>
    </w:lvl>
    <w:lvl w:ilvl="8" w:tentative="0">
      <w:start w:val="1"/>
      <w:numFmt w:val="lowerRoman"/>
      <w:suff w:val="space"/>
      <w:lvlText w:val="%9."/>
      <w:lvlJc w:val="left"/>
      <w:pPr>
        <w:ind w:left="3856" w:hanging="227"/>
      </w:pPr>
      <w:rPr>
        <w:rFonts w:hint="eastAsia"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MyNjAxOTI3NGRiYTg2OGUxZWU3ZmNiMzlmOTJmNGIifQ=="/>
  </w:docVars>
  <w:rsids>
    <w:rsidRoot w:val="00F06D87"/>
    <w:rsid w:val="002A4260"/>
    <w:rsid w:val="00366D92"/>
    <w:rsid w:val="00385E6D"/>
    <w:rsid w:val="00453086"/>
    <w:rsid w:val="004D29FC"/>
    <w:rsid w:val="005531D2"/>
    <w:rsid w:val="005C2074"/>
    <w:rsid w:val="006F015B"/>
    <w:rsid w:val="00851F13"/>
    <w:rsid w:val="0089189B"/>
    <w:rsid w:val="00C608F9"/>
    <w:rsid w:val="00C81204"/>
    <w:rsid w:val="00F06D87"/>
    <w:rsid w:val="01416DF2"/>
    <w:rsid w:val="01B42A40"/>
    <w:rsid w:val="01DC2AB5"/>
    <w:rsid w:val="01E172D1"/>
    <w:rsid w:val="01E84A30"/>
    <w:rsid w:val="021E41D8"/>
    <w:rsid w:val="0236504F"/>
    <w:rsid w:val="026E4207"/>
    <w:rsid w:val="02CF1DCC"/>
    <w:rsid w:val="03166555"/>
    <w:rsid w:val="03610A19"/>
    <w:rsid w:val="037F3350"/>
    <w:rsid w:val="03830BB7"/>
    <w:rsid w:val="04337D9E"/>
    <w:rsid w:val="04435677"/>
    <w:rsid w:val="048B61FD"/>
    <w:rsid w:val="04F85637"/>
    <w:rsid w:val="056F1060"/>
    <w:rsid w:val="056F3BC2"/>
    <w:rsid w:val="059269D8"/>
    <w:rsid w:val="060A7E98"/>
    <w:rsid w:val="06451A56"/>
    <w:rsid w:val="06D52412"/>
    <w:rsid w:val="06E34D62"/>
    <w:rsid w:val="06EC34E9"/>
    <w:rsid w:val="07261BF2"/>
    <w:rsid w:val="074C3905"/>
    <w:rsid w:val="079C3C62"/>
    <w:rsid w:val="07BE3841"/>
    <w:rsid w:val="07FB49F0"/>
    <w:rsid w:val="080C03D3"/>
    <w:rsid w:val="084D4E16"/>
    <w:rsid w:val="085053EA"/>
    <w:rsid w:val="086B2CD6"/>
    <w:rsid w:val="088323FA"/>
    <w:rsid w:val="089B216C"/>
    <w:rsid w:val="08B96DE4"/>
    <w:rsid w:val="08CE7404"/>
    <w:rsid w:val="091673D4"/>
    <w:rsid w:val="09207C05"/>
    <w:rsid w:val="093B7E06"/>
    <w:rsid w:val="09705300"/>
    <w:rsid w:val="099346C1"/>
    <w:rsid w:val="09992B4F"/>
    <w:rsid w:val="09E544CB"/>
    <w:rsid w:val="09EC1F94"/>
    <w:rsid w:val="0A043DE6"/>
    <w:rsid w:val="0A5D4ADD"/>
    <w:rsid w:val="0A603801"/>
    <w:rsid w:val="0AA85976"/>
    <w:rsid w:val="0AED6133"/>
    <w:rsid w:val="0B092A8A"/>
    <w:rsid w:val="0B0E19AF"/>
    <w:rsid w:val="0B0F7B88"/>
    <w:rsid w:val="0B344D9D"/>
    <w:rsid w:val="0B9140B0"/>
    <w:rsid w:val="0B9A2BAF"/>
    <w:rsid w:val="0BC70195"/>
    <w:rsid w:val="0BCB2ACE"/>
    <w:rsid w:val="0C000C64"/>
    <w:rsid w:val="0C3A499F"/>
    <w:rsid w:val="0C3D184D"/>
    <w:rsid w:val="0CA76A42"/>
    <w:rsid w:val="0CAF035D"/>
    <w:rsid w:val="0CE07BAC"/>
    <w:rsid w:val="0CEA4414"/>
    <w:rsid w:val="0D4F2241"/>
    <w:rsid w:val="0D8D059B"/>
    <w:rsid w:val="0DC64126"/>
    <w:rsid w:val="0DEF0975"/>
    <w:rsid w:val="0DF82377"/>
    <w:rsid w:val="0DFD0AB2"/>
    <w:rsid w:val="0E370B89"/>
    <w:rsid w:val="0EAF0988"/>
    <w:rsid w:val="0F282340"/>
    <w:rsid w:val="0F84395A"/>
    <w:rsid w:val="0FC24482"/>
    <w:rsid w:val="0FCD6550"/>
    <w:rsid w:val="0FD47456"/>
    <w:rsid w:val="0FE2105F"/>
    <w:rsid w:val="109B3A68"/>
    <w:rsid w:val="10F25AC4"/>
    <w:rsid w:val="11296BE6"/>
    <w:rsid w:val="11433163"/>
    <w:rsid w:val="114E6D2F"/>
    <w:rsid w:val="11BA2DA2"/>
    <w:rsid w:val="12040D82"/>
    <w:rsid w:val="12685D79"/>
    <w:rsid w:val="126C30D5"/>
    <w:rsid w:val="13153E3D"/>
    <w:rsid w:val="139A54CB"/>
    <w:rsid w:val="13EC666F"/>
    <w:rsid w:val="14247B5C"/>
    <w:rsid w:val="146B50E8"/>
    <w:rsid w:val="14AD5701"/>
    <w:rsid w:val="14B73A0D"/>
    <w:rsid w:val="14F960FD"/>
    <w:rsid w:val="152165B6"/>
    <w:rsid w:val="15BE2917"/>
    <w:rsid w:val="15C76169"/>
    <w:rsid w:val="162C5B6F"/>
    <w:rsid w:val="1651209B"/>
    <w:rsid w:val="170B70BE"/>
    <w:rsid w:val="175A4C8C"/>
    <w:rsid w:val="17F2518E"/>
    <w:rsid w:val="18130FCE"/>
    <w:rsid w:val="1852340B"/>
    <w:rsid w:val="189073A8"/>
    <w:rsid w:val="18C257E8"/>
    <w:rsid w:val="18D212C6"/>
    <w:rsid w:val="191160BC"/>
    <w:rsid w:val="193369FB"/>
    <w:rsid w:val="19FF495B"/>
    <w:rsid w:val="1A605EA9"/>
    <w:rsid w:val="1A9F3EA8"/>
    <w:rsid w:val="1B4F57C2"/>
    <w:rsid w:val="1B915931"/>
    <w:rsid w:val="1B9535FC"/>
    <w:rsid w:val="1C6C24EB"/>
    <w:rsid w:val="1C6E5776"/>
    <w:rsid w:val="1CA17544"/>
    <w:rsid w:val="1CDA72AF"/>
    <w:rsid w:val="1D01483C"/>
    <w:rsid w:val="1E454DFE"/>
    <w:rsid w:val="1E5C34F6"/>
    <w:rsid w:val="1E9062B3"/>
    <w:rsid w:val="1EA277D2"/>
    <w:rsid w:val="1F37762D"/>
    <w:rsid w:val="1F434254"/>
    <w:rsid w:val="1F5F7123"/>
    <w:rsid w:val="1F954032"/>
    <w:rsid w:val="1F967805"/>
    <w:rsid w:val="1FF17AD2"/>
    <w:rsid w:val="204D4023"/>
    <w:rsid w:val="20553899"/>
    <w:rsid w:val="20554DEA"/>
    <w:rsid w:val="211514D5"/>
    <w:rsid w:val="211B0713"/>
    <w:rsid w:val="213E1BF4"/>
    <w:rsid w:val="21407A69"/>
    <w:rsid w:val="214113DB"/>
    <w:rsid w:val="21464EDB"/>
    <w:rsid w:val="218F339D"/>
    <w:rsid w:val="21F91F85"/>
    <w:rsid w:val="229439DF"/>
    <w:rsid w:val="229C3683"/>
    <w:rsid w:val="22A763E9"/>
    <w:rsid w:val="22EE0AF3"/>
    <w:rsid w:val="22FE4D4D"/>
    <w:rsid w:val="23494677"/>
    <w:rsid w:val="23845B73"/>
    <w:rsid w:val="23B928A0"/>
    <w:rsid w:val="24322348"/>
    <w:rsid w:val="2486454B"/>
    <w:rsid w:val="24894380"/>
    <w:rsid w:val="25153806"/>
    <w:rsid w:val="25DC4098"/>
    <w:rsid w:val="26673911"/>
    <w:rsid w:val="26683591"/>
    <w:rsid w:val="266B4515"/>
    <w:rsid w:val="26C16854"/>
    <w:rsid w:val="273E668C"/>
    <w:rsid w:val="27C81B67"/>
    <w:rsid w:val="27DB1255"/>
    <w:rsid w:val="280F25FA"/>
    <w:rsid w:val="28165840"/>
    <w:rsid w:val="281B5912"/>
    <w:rsid w:val="28507E5B"/>
    <w:rsid w:val="285F16A1"/>
    <w:rsid w:val="29245F0F"/>
    <w:rsid w:val="29635A40"/>
    <w:rsid w:val="29836A11"/>
    <w:rsid w:val="29910A3F"/>
    <w:rsid w:val="29E7425A"/>
    <w:rsid w:val="2A4E0F10"/>
    <w:rsid w:val="2A7E30A9"/>
    <w:rsid w:val="2A95007D"/>
    <w:rsid w:val="2A9B5F16"/>
    <w:rsid w:val="2AC80EE5"/>
    <w:rsid w:val="2B25208B"/>
    <w:rsid w:val="2B414AA0"/>
    <w:rsid w:val="2B4815E8"/>
    <w:rsid w:val="2B5C1A09"/>
    <w:rsid w:val="2BC90CE4"/>
    <w:rsid w:val="2BD829FE"/>
    <w:rsid w:val="2C022E5B"/>
    <w:rsid w:val="2D2C6F2F"/>
    <w:rsid w:val="2DAF08A0"/>
    <w:rsid w:val="2DB142C8"/>
    <w:rsid w:val="2E171112"/>
    <w:rsid w:val="2E1A11E4"/>
    <w:rsid w:val="2F9A04D8"/>
    <w:rsid w:val="2FA8342E"/>
    <w:rsid w:val="2FBC661B"/>
    <w:rsid w:val="2FC6460C"/>
    <w:rsid w:val="305F1A1A"/>
    <w:rsid w:val="30935F43"/>
    <w:rsid w:val="30A52F7E"/>
    <w:rsid w:val="30D70EF5"/>
    <w:rsid w:val="313A1B51"/>
    <w:rsid w:val="31422976"/>
    <w:rsid w:val="316D0DA5"/>
    <w:rsid w:val="31B66E26"/>
    <w:rsid w:val="31EF7E71"/>
    <w:rsid w:val="32537517"/>
    <w:rsid w:val="327D0BE3"/>
    <w:rsid w:val="32A46C7F"/>
    <w:rsid w:val="32DD16C7"/>
    <w:rsid w:val="32F36890"/>
    <w:rsid w:val="334141A4"/>
    <w:rsid w:val="334C7FB6"/>
    <w:rsid w:val="336978E6"/>
    <w:rsid w:val="339A2172"/>
    <w:rsid w:val="33A40415"/>
    <w:rsid w:val="33B76E9E"/>
    <w:rsid w:val="33E61945"/>
    <w:rsid w:val="340E3279"/>
    <w:rsid w:val="34646885"/>
    <w:rsid w:val="34C86BAF"/>
    <w:rsid w:val="35CE0055"/>
    <w:rsid w:val="35FF6626"/>
    <w:rsid w:val="36B44829"/>
    <w:rsid w:val="36EB0824"/>
    <w:rsid w:val="36F82102"/>
    <w:rsid w:val="371812F8"/>
    <w:rsid w:val="37313437"/>
    <w:rsid w:val="37ED3EE3"/>
    <w:rsid w:val="381E2EE3"/>
    <w:rsid w:val="38883C0B"/>
    <w:rsid w:val="38CA1FBC"/>
    <w:rsid w:val="38E9376A"/>
    <w:rsid w:val="38EA2242"/>
    <w:rsid w:val="39333B77"/>
    <w:rsid w:val="394D5EB7"/>
    <w:rsid w:val="397452A4"/>
    <w:rsid w:val="397F5F16"/>
    <w:rsid w:val="39BE02CB"/>
    <w:rsid w:val="39E3398F"/>
    <w:rsid w:val="3A766E13"/>
    <w:rsid w:val="3A7C1983"/>
    <w:rsid w:val="3AEB004E"/>
    <w:rsid w:val="3B273F0F"/>
    <w:rsid w:val="3B6C732F"/>
    <w:rsid w:val="3B8549AC"/>
    <w:rsid w:val="3BC31A6A"/>
    <w:rsid w:val="3BC67E57"/>
    <w:rsid w:val="3BD74C36"/>
    <w:rsid w:val="3C3828BD"/>
    <w:rsid w:val="3C9B3F0D"/>
    <w:rsid w:val="3D331BCC"/>
    <w:rsid w:val="3D577A3B"/>
    <w:rsid w:val="3E0D1069"/>
    <w:rsid w:val="3E2A5B7D"/>
    <w:rsid w:val="3E7138C3"/>
    <w:rsid w:val="3E754580"/>
    <w:rsid w:val="3ECD21E7"/>
    <w:rsid w:val="3F30121F"/>
    <w:rsid w:val="3FA1655A"/>
    <w:rsid w:val="3FA80B7F"/>
    <w:rsid w:val="3FDC5D32"/>
    <w:rsid w:val="3FE1257F"/>
    <w:rsid w:val="3FE35F43"/>
    <w:rsid w:val="3FE95D44"/>
    <w:rsid w:val="3FF22CF9"/>
    <w:rsid w:val="400B51CF"/>
    <w:rsid w:val="40151103"/>
    <w:rsid w:val="4057639D"/>
    <w:rsid w:val="40985685"/>
    <w:rsid w:val="409A592C"/>
    <w:rsid w:val="40BE3ABB"/>
    <w:rsid w:val="40C6791F"/>
    <w:rsid w:val="40F612A2"/>
    <w:rsid w:val="41180364"/>
    <w:rsid w:val="41501262"/>
    <w:rsid w:val="41800421"/>
    <w:rsid w:val="41986E0C"/>
    <w:rsid w:val="419B1A30"/>
    <w:rsid w:val="41EE72BB"/>
    <w:rsid w:val="41F43584"/>
    <w:rsid w:val="41F85A2C"/>
    <w:rsid w:val="41FA4A09"/>
    <w:rsid w:val="42061A59"/>
    <w:rsid w:val="425C7729"/>
    <w:rsid w:val="431762B8"/>
    <w:rsid w:val="43197030"/>
    <w:rsid w:val="43C20EE5"/>
    <w:rsid w:val="444E2F39"/>
    <w:rsid w:val="44AA296E"/>
    <w:rsid w:val="44B20383"/>
    <w:rsid w:val="44FE7975"/>
    <w:rsid w:val="453D3288"/>
    <w:rsid w:val="454B43F7"/>
    <w:rsid w:val="455A14D6"/>
    <w:rsid w:val="45655952"/>
    <w:rsid w:val="45BA5DC5"/>
    <w:rsid w:val="46341A5E"/>
    <w:rsid w:val="465F3505"/>
    <w:rsid w:val="46741C23"/>
    <w:rsid w:val="46832DC8"/>
    <w:rsid w:val="46AB7B7E"/>
    <w:rsid w:val="46CE5F6F"/>
    <w:rsid w:val="470E5DA9"/>
    <w:rsid w:val="476C67E4"/>
    <w:rsid w:val="4790225C"/>
    <w:rsid w:val="48E45E45"/>
    <w:rsid w:val="48E555E0"/>
    <w:rsid w:val="492E5CB9"/>
    <w:rsid w:val="49626DF3"/>
    <w:rsid w:val="4998477E"/>
    <w:rsid w:val="49D570F7"/>
    <w:rsid w:val="49DF6D9B"/>
    <w:rsid w:val="4A0F7CE8"/>
    <w:rsid w:val="4A310CEA"/>
    <w:rsid w:val="4A542F28"/>
    <w:rsid w:val="4A880DD3"/>
    <w:rsid w:val="4A8B70B5"/>
    <w:rsid w:val="4AB54D91"/>
    <w:rsid w:val="4AE33A6B"/>
    <w:rsid w:val="4B0623C1"/>
    <w:rsid w:val="4C460902"/>
    <w:rsid w:val="4C625576"/>
    <w:rsid w:val="4C63431C"/>
    <w:rsid w:val="4C8E3AA7"/>
    <w:rsid w:val="4C925EBA"/>
    <w:rsid w:val="4CB726ED"/>
    <w:rsid w:val="4CFE245C"/>
    <w:rsid w:val="4D3F08E5"/>
    <w:rsid w:val="4D5F057C"/>
    <w:rsid w:val="4D98381C"/>
    <w:rsid w:val="4DBF40C8"/>
    <w:rsid w:val="4E215CB4"/>
    <w:rsid w:val="4E3D0B9C"/>
    <w:rsid w:val="4E523481"/>
    <w:rsid w:val="4E7B594C"/>
    <w:rsid w:val="4E937F20"/>
    <w:rsid w:val="4ED27DF4"/>
    <w:rsid w:val="4EF63225"/>
    <w:rsid w:val="4F354AB5"/>
    <w:rsid w:val="4FE72524"/>
    <w:rsid w:val="4FEE0FCD"/>
    <w:rsid w:val="501555F2"/>
    <w:rsid w:val="506143EC"/>
    <w:rsid w:val="50B07329"/>
    <w:rsid w:val="51061E6C"/>
    <w:rsid w:val="514B5913"/>
    <w:rsid w:val="5151508A"/>
    <w:rsid w:val="51A16382"/>
    <w:rsid w:val="51D004C0"/>
    <w:rsid w:val="51ED0539"/>
    <w:rsid w:val="52233CE4"/>
    <w:rsid w:val="525073FF"/>
    <w:rsid w:val="52801292"/>
    <w:rsid w:val="529E7E5B"/>
    <w:rsid w:val="53230361"/>
    <w:rsid w:val="53302860"/>
    <w:rsid w:val="53621CF1"/>
    <w:rsid w:val="537517FC"/>
    <w:rsid w:val="53DE6F02"/>
    <w:rsid w:val="53FC38A5"/>
    <w:rsid w:val="54776D20"/>
    <w:rsid w:val="549902D9"/>
    <w:rsid w:val="54AF522D"/>
    <w:rsid w:val="54AF7A88"/>
    <w:rsid w:val="54B25391"/>
    <w:rsid w:val="54ED7D64"/>
    <w:rsid w:val="55030E31"/>
    <w:rsid w:val="55404492"/>
    <w:rsid w:val="5541395D"/>
    <w:rsid w:val="554B68DE"/>
    <w:rsid w:val="5553445A"/>
    <w:rsid w:val="55FF3307"/>
    <w:rsid w:val="56532D4A"/>
    <w:rsid w:val="56B676F8"/>
    <w:rsid w:val="56D8660A"/>
    <w:rsid w:val="5777625D"/>
    <w:rsid w:val="57993545"/>
    <w:rsid w:val="580A21FF"/>
    <w:rsid w:val="5867225C"/>
    <w:rsid w:val="587B1D86"/>
    <w:rsid w:val="58AD29BD"/>
    <w:rsid w:val="58AD748A"/>
    <w:rsid w:val="58C4010A"/>
    <w:rsid w:val="591523B8"/>
    <w:rsid w:val="59466384"/>
    <w:rsid w:val="595E77B5"/>
    <w:rsid w:val="598C04F3"/>
    <w:rsid w:val="599C0434"/>
    <w:rsid w:val="5A111469"/>
    <w:rsid w:val="5A604FDD"/>
    <w:rsid w:val="5A642D5F"/>
    <w:rsid w:val="5A7F0696"/>
    <w:rsid w:val="5AB653D5"/>
    <w:rsid w:val="5B072892"/>
    <w:rsid w:val="5B7A727B"/>
    <w:rsid w:val="5BA514AA"/>
    <w:rsid w:val="5C025303"/>
    <w:rsid w:val="5DA1398C"/>
    <w:rsid w:val="5DA15CA9"/>
    <w:rsid w:val="5DD92690"/>
    <w:rsid w:val="5E411800"/>
    <w:rsid w:val="5E473A9D"/>
    <w:rsid w:val="5E6F2B2B"/>
    <w:rsid w:val="5E701571"/>
    <w:rsid w:val="5F4D381A"/>
    <w:rsid w:val="5F5654C9"/>
    <w:rsid w:val="5F5E19C2"/>
    <w:rsid w:val="5F6A42C5"/>
    <w:rsid w:val="5F6D7B2C"/>
    <w:rsid w:val="5F782708"/>
    <w:rsid w:val="5FE6194B"/>
    <w:rsid w:val="5FEB2206"/>
    <w:rsid w:val="601D2D07"/>
    <w:rsid w:val="60444EFC"/>
    <w:rsid w:val="60B90BF4"/>
    <w:rsid w:val="61281D72"/>
    <w:rsid w:val="617D6C1D"/>
    <w:rsid w:val="617F6004"/>
    <w:rsid w:val="619C01E2"/>
    <w:rsid w:val="61DC639E"/>
    <w:rsid w:val="62325AA7"/>
    <w:rsid w:val="62442657"/>
    <w:rsid w:val="627A4BD8"/>
    <w:rsid w:val="62A20BB9"/>
    <w:rsid w:val="62CF6C2B"/>
    <w:rsid w:val="631F3D7B"/>
    <w:rsid w:val="633B5F5A"/>
    <w:rsid w:val="63C875D7"/>
    <w:rsid w:val="644161CB"/>
    <w:rsid w:val="64646CC1"/>
    <w:rsid w:val="65833F03"/>
    <w:rsid w:val="65A12ABE"/>
    <w:rsid w:val="65C940E4"/>
    <w:rsid w:val="65D676FC"/>
    <w:rsid w:val="65FA5136"/>
    <w:rsid w:val="65FB005C"/>
    <w:rsid w:val="66231220"/>
    <w:rsid w:val="66470307"/>
    <w:rsid w:val="66754F1F"/>
    <w:rsid w:val="66904315"/>
    <w:rsid w:val="670A1BEC"/>
    <w:rsid w:val="67196964"/>
    <w:rsid w:val="674C7280"/>
    <w:rsid w:val="675C6B3A"/>
    <w:rsid w:val="67AF3962"/>
    <w:rsid w:val="67BE186A"/>
    <w:rsid w:val="67D750FA"/>
    <w:rsid w:val="67F95327"/>
    <w:rsid w:val="67FC4F8B"/>
    <w:rsid w:val="68A35DBC"/>
    <w:rsid w:val="68F01169"/>
    <w:rsid w:val="68F80968"/>
    <w:rsid w:val="6942558D"/>
    <w:rsid w:val="69612116"/>
    <w:rsid w:val="699E221D"/>
    <w:rsid w:val="69C22990"/>
    <w:rsid w:val="6AD46458"/>
    <w:rsid w:val="6ADE1E63"/>
    <w:rsid w:val="6B7E3F6B"/>
    <w:rsid w:val="6BA179A3"/>
    <w:rsid w:val="6BA6087D"/>
    <w:rsid w:val="6BF87844"/>
    <w:rsid w:val="6C1628B6"/>
    <w:rsid w:val="6C4D333F"/>
    <w:rsid w:val="6C585E4D"/>
    <w:rsid w:val="6C7D59F6"/>
    <w:rsid w:val="6C8D4C67"/>
    <w:rsid w:val="6D464D49"/>
    <w:rsid w:val="6D9918AB"/>
    <w:rsid w:val="6DA46816"/>
    <w:rsid w:val="6DAE5E0C"/>
    <w:rsid w:val="6E1B3792"/>
    <w:rsid w:val="6E871F96"/>
    <w:rsid w:val="6ED73C7A"/>
    <w:rsid w:val="6F3068FA"/>
    <w:rsid w:val="6F3F60CB"/>
    <w:rsid w:val="6FC455ED"/>
    <w:rsid w:val="70745238"/>
    <w:rsid w:val="70AF6258"/>
    <w:rsid w:val="70EB02B8"/>
    <w:rsid w:val="70F937C8"/>
    <w:rsid w:val="717F19F4"/>
    <w:rsid w:val="7183166A"/>
    <w:rsid w:val="71AB3A5C"/>
    <w:rsid w:val="71CF4354"/>
    <w:rsid w:val="72070621"/>
    <w:rsid w:val="7221167A"/>
    <w:rsid w:val="723F30C0"/>
    <w:rsid w:val="72D75D73"/>
    <w:rsid w:val="72F479E2"/>
    <w:rsid w:val="7327134F"/>
    <w:rsid w:val="740B21FC"/>
    <w:rsid w:val="74425359"/>
    <w:rsid w:val="746E5C50"/>
    <w:rsid w:val="74826AAC"/>
    <w:rsid w:val="748E6B68"/>
    <w:rsid w:val="75340938"/>
    <w:rsid w:val="75582372"/>
    <w:rsid w:val="758122F7"/>
    <w:rsid w:val="75CA3D93"/>
    <w:rsid w:val="75E3085A"/>
    <w:rsid w:val="75F86514"/>
    <w:rsid w:val="76436E62"/>
    <w:rsid w:val="766E2965"/>
    <w:rsid w:val="769020AF"/>
    <w:rsid w:val="76AE6010"/>
    <w:rsid w:val="76D3117F"/>
    <w:rsid w:val="774C6D0B"/>
    <w:rsid w:val="775C056B"/>
    <w:rsid w:val="77794AE4"/>
    <w:rsid w:val="77A43BE9"/>
    <w:rsid w:val="77D67276"/>
    <w:rsid w:val="78721CEF"/>
    <w:rsid w:val="78EB703F"/>
    <w:rsid w:val="78FA3091"/>
    <w:rsid w:val="7943647E"/>
    <w:rsid w:val="7958246D"/>
    <w:rsid w:val="79A124DE"/>
    <w:rsid w:val="79C27653"/>
    <w:rsid w:val="79DE3700"/>
    <w:rsid w:val="79E14685"/>
    <w:rsid w:val="7A0E3419"/>
    <w:rsid w:val="7A154075"/>
    <w:rsid w:val="7A871CE4"/>
    <w:rsid w:val="7A9C41D5"/>
    <w:rsid w:val="7AC403F5"/>
    <w:rsid w:val="7B5D15F3"/>
    <w:rsid w:val="7B8A489D"/>
    <w:rsid w:val="7B986B26"/>
    <w:rsid w:val="7BBA37C5"/>
    <w:rsid w:val="7BCD518A"/>
    <w:rsid w:val="7BD14F7B"/>
    <w:rsid w:val="7BEE0029"/>
    <w:rsid w:val="7C2D09C7"/>
    <w:rsid w:val="7C513185"/>
    <w:rsid w:val="7C6D4B2F"/>
    <w:rsid w:val="7C890F67"/>
    <w:rsid w:val="7C9C4B5C"/>
    <w:rsid w:val="7CEE323F"/>
    <w:rsid w:val="7D0F5E28"/>
    <w:rsid w:val="7D790306"/>
    <w:rsid w:val="7D987C19"/>
    <w:rsid w:val="7DB45AFF"/>
    <w:rsid w:val="7DCD708E"/>
    <w:rsid w:val="7E3A4BAB"/>
    <w:rsid w:val="7E672870"/>
    <w:rsid w:val="7EAE5170"/>
    <w:rsid w:val="7EB119EA"/>
    <w:rsid w:val="7EE2463B"/>
    <w:rsid w:val="7F00287F"/>
    <w:rsid w:val="7F006E3C"/>
    <w:rsid w:val="7F043BEF"/>
    <w:rsid w:val="7FDC305A"/>
    <w:rsid w:val="7FF76391"/>
    <w:rsid w:val="DB5BDDDE"/>
    <w:rsid w:val="DEFF46A8"/>
    <w:rsid w:val="FEA55811"/>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qFormat="1" w:unhideWhenUsed="0" w:uiPriority="99" w:semiHidden="0"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qFormat="1" w:unhideWhenUsed="0" w:uiPriority="99" w:semiHidden="0"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nhideWhenUsed="0" w:uiPriority="99"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qFormat="1" w:unhideWhenUsed="0"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qFormat="1" w:unhideWhenUsed="0" w:uiPriority="99" w:semiHidden="0"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等线" w:hAnsi="等线" w:eastAsia="等线" w:cs="Times New Roman"/>
      <w:kern w:val="2"/>
      <w:sz w:val="21"/>
      <w:szCs w:val="22"/>
      <w:lang w:val="en-US" w:eastAsia="zh-CN" w:bidi="ar-SA"/>
    </w:rPr>
  </w:style>
  <w:style w:type="paragraph" w:styleId="7">
    <w:name w:val="heading 1"/>
    <w:basedOn w:val="8"/>
    <w:next w:val="1"/>
    <w:link w:val="21"/>
    <w:qFormat/>
    <w:uiPriority w:val="99"/>
    <w:pPr>
      <w:numPr>
        <w:ilvl w:val="0"/>
        <w:numId w:val="1"/>
      </w:numPr>
      <w:spacing w:line="360" w:lineRule="auto"/>
      <w:ind w:firstLine="0" w:firstLineChars="0"/>
      <w:outlineLvl w:val="0"/>
    </w:pPr>
    <w:rPr>
      <w:rFonts w:ascii="宋体" w:hAnsi="宋体" w:eastAsia="宋体"/>
      <w:b/>
      <w:bCs/>
      <w:color w:val="000000"/>
      <w:sz w:val="22"/>
    </w:rPr>
  </w:style>
  <w:style w:type="paragraph" w:styleId="9">
    <w:name w:val="heading 2"/>
    <w:basedOn w:val="1"/>
    <w:next w:val="1"/>
    <w:link w:val="22"/>
    <w:qFormat/>
    <w:uiPriority w:val="99"/>
    <w:pPr>
      <w:autoSpaceDE w:val="0"/>
      <w:autoSpaceDN w:val="0"/>
      <w:ind w:left="801" w:hanging="401"/>
      <w:jc w:val="left"/>
      <w:outlineLvl w:val="1"/>
    </w:pPr>
    <w:rPr>
      <w:rFonts w:ascii="Microsoft JhengHei" w:hAnsi="Microsoft JhengHei" w:eastAsia="Microsoft JhengHei" w:cs="Microsoft JhengHei"/>
      <w:b/>
      <w:sz w:val="32"/>
      <w:szCs w:val="32"/>
      <w:lang w:val="zh-CN"/>
    </w:rPr>
  </w:style>
  <w:style w:type="paragraph" w:styleId="10">
    <w:name w:val="heading 3"/>
    <w:basedOn w:val="1"/>
    <w:next w:val="1"/>
    <w:link w:val="23"/>
    <w:qFormat/>
    <w:uiPriority w:val="99"/>
    <w:pPr>
      <w:autoSpaceDE w:val="0"/>
      <w:autoSpaceDN w:val="0"/>
      <w:ind w:left="866" w:hanging="489"/>
      <w:jc w:val="left"/>
      <w:outlineLvl w:val="2"/>
    </w:pPr>
    <w:rPr>
      <w:rFonts w:ascii="宋体" w:hAnsi="宋体"/>
      <w:kern w:val="0"/>
      <w:sz w:val="28"/>
      <w:szCs w:val="28"/>
      <w:lang w:val="zh-CN"/>
    </w:rPr>
  </w:style>
  <w:style w:type="paragraph" w:styleId="11">
    <w:name w:val="heading 4"/>
    <w:basedOn w:val="1"/>
    <w:next w:val="1"/>
    <w:link w:val="24"/>
    <w:qFormat/>
    <w:uiPriority w:val="99"/>
    <w:pPr>
      <w:keepNext/>
      <w:keepLines/>
      <w:spacing w:line="372" w:lineRule="auto"/>
      <w:outlineLvl w:val="3"/>
    </w:pPr>
    <w:rPr>
      <w:rFonts w:ascii="Arial" w:hAnsi="Arial" w:eastAsia="黑体" w:cs="宋体"/>
      <w:b/>
      <w:sz w:val="28"/>
      <w:szCs w:val="21"/>
    </w:rPr>
  </w:style>
  <w:style w:type="character" w:default="1" w:styleId="20">
    <w:name w:val="Default Paragraph Font"/>
    <w:semiHidden/>
    <w:qFormat/>
    <w:uiPriority w:val="99"/>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next w:val="5"/>
    <w:link w:val="26"/>
    <w:qFormat/>
    <w:uiPriority w:val="99"/>
    <w:pPr>
      <w:ind w:firstLine="420"/>
    </w:pPr>
  </w:style>
  <w:style w:type="paragraph" w:styleId="3">
    <w:name w:val="Body Text Indent"/>
    <w:basedOn w:val="1"/>
    <w:next w:val="4"/>
    <w:link w:val="25"/>
    <w:qFormat/>
    <w:uiPriority w:val="99"/>
    <w:pPr>
      <w:autoSpaceDE w:val="0"/>
      <w:autoSpaceDN w:val="0"/>
      <w:ind w:left="420"/>
    </w:pPr>
    <w:rPr>
      <w:rFonts w:ascii="Times New Roman" w:hAnsi="Times New Roman" w:eastAsia="宋体"/>
      <w:szCs w:val="24"/>
      <w:lang w:val="zh-CN"/>
    </w:rPr>
  </w:style>
  <w:style w:type="paragraph" w:styleId="4">
    <w:name w:val="envelope return"/>
    <w:basedOn w:val="1"/>
    <w:qFormat/>
    <w:uiPriority w:val="99"/>
    <w:pPr>
      <w:snapToGrid w:val="0"/>
    </w:pPr>
    <w:rPr>
      <w:rFonts w:ascii="Arial" w:hAnsi="Arial" w:cs="Arial"/>
      <w:szCs w:val="24"/>
    </w:rPr>
  </w:style>
  <w:style w:type="paragraph" w:customStyle="1" w:styleId="5">
    <w:name w:val="表格文字"/>
    <w:basedOn w:val="6"/>
    <w:next w:val="1"/>
    <w:qFormat/>
    <w:uiPriority w:val="99"/>
    <w:pPr>
      <w:ind w:firstLine="0" w:firstLineChars="0"/>
      <w:jc w:val="center"/>
    </w:pPr>
    <w:rPr>
      <w:szCs w:val="20"/>
    </w:rPr>
  </w:style>
  <w:style w:type="paragraph" w:styleId="6">
    <w:name w:val="List"/>
    <w:basedOn w:val="1"/>
    <w:qFormat/>
    <w:uiPriority w:val="99"/>
    <w:pPr>
      <w:ind w:left="200" w:hanging="200" w:hangingChars="200"/>
    </w:pPr>
    <w:rPr>
      <w:rFonts w:ascii="宋体" w:hAnsi="宋体" w:eastAsia="宋体" w:cs="宋体"/>
      <w:szCs w:val="21"/>
    </w:rPr>
  </w:style>
  <w:style w:type="paragraph" w:styleId="8">
    <w:name w:val="List Paragraph"/>
    <w:basedOn w:val="1"/>
    <w:qFormat/>
    <w:uiPriority w:val="99"/>
    <w:pPr>
      <w:ind w:firstLine="420" w:firstLineChars="200"/>
    </w:pPr>
  </w:style>
  <w:style w:type="paragraph" w:styleId="12">
    <w:name w:val="Normal Indent"/>
    <w:basedOn w:val="1"/>
    <w:next w:val="1"/>
    <w:qFormat/>
    <w:uiPriority w:val="99"/>
    <w:pPr>
      <w:ind w:firstLine="420"/>
    </w:pPr>
    <w:rPr>
      <w:rFonts w:ascii="Times New Roman" w:hAnsi="Times New Roman" w:eastAsia="宋体"/>
      <w:szCs w:val="20"/>
    </w:rPr>
  </w:style>
  <w:style w:type="paragraph" w:styleId="13">
    <w:name w:val="Document Map"/>
    <w:basedOn w:val="1"/>
    <w:link w:val="27"/>
    <w:qFormat/>
    <w:uiPriority w:val="99"/>
    <w:rPr>
      <w:rFonts w:ascii="宋体" w:hAnsi="宋体" w:eastAsia="宋体" w:cs="宋体"/>
      <w:sz w:val="18"/>
      <w:szCs w:val="18"/>
    </w:rPr>
  </w:style>
  <w:style w:type="paragraph" w:styleId="14">
    <w:name w:val="Body Text"/>
    <w:basedOn w:val="1"/>
    <w:next w:val="1"/>
    <w:link w:val="28"/>
    <w:qFormat/>
    <w:uiPriority w:val="99"/>
    <w:pPr>
      <w:autoSpaceDE w:val="0"/>
      <w:autoSpaceDN w:val="0"/>
      <w:jc w:val="left"/>
    </w:pPr>
    <w:rPr>
      <w:rFonts w:ascii="宋体" w:hAnsi="宋体" w:eastAsia="宋体" w:cs="宋体"/>
      <w:szCs w:val="21"/>
      <w:lang w:val="zh-CN"/>
    </w:rPr>
  </w:style>
  <w:style w:type="paragraph" w:styleId="15">
    <w:name w:val="Plain Text"/>
    <w:basedOn w:val="1"/>
    <w:link w:val="29"/>
    <w:qFormat/>
    <w:uiPriority w:val="99"/>
    <w:pPr>
      <w:autoSpaceDE w:val="0"/>
      <w:autoSpaceDN w:val="0"/>
    </w:pPr>
    <w:rPr>
      <w:rFonts w:ascii="宋体" w:hAnsi="Courier New" w:eastAsia="宋体"/>
      <w:szCs w:val="21"/>
      <w:lang w:val="zh-CN"/>
    </w:rPr>
  </w:style>
  <w:style w:type="paragraph" w:styleId="16">
    <w:name w:val="footer"/>
    <w:basedOn w:val="1"/>
    <w:link w:val="30"/>
    <w:qFormat/>
    <w:uiPriority w:val="99"/>
    <w:pPr>
      <w:tabs>
        <w:tab w:val="center" w:pos="4153"/>
        <w:tab w:val="right" w:pos="8306"/>
      </w:tabs>
      <w:snapToGrid w:val="0"/>
      <w:jc w:val="left"/>
    </w:pPr>
    <w:rPr>
      <w:sz w:val="18"/>
      <w:szCs w:val="18"/>
    </w:rPr>
  </w:style>
  <w:style w:type="paragraph" w:styleId="17">
    <w:name w:val="header"/>
    <w:basedOn w:val="1"/>
    <w:link w:val="31"/>
    <w:qFormat/>
    <w:uiPriority w:val="99"/>
    <w:pPr>
      <w:pBdr>
        <w:bottom w:val="single" w:color="auto" w:sz="6" w:space="1"/>
      </w:pBdr>
      <w:tabs>
        <w:tab w:val="center" w:pos="4153"/>
        <w:tab w:val="right" w:pos="8306"/>
      </w:tabs>
      <w:snapToGrid w:val="0"/>
      <w:jc w:val="center"/>
    </w:pPr>
    <w:rPr>
      <w:sz w:val="18"/>
      <w:szCs w:val="18"/>
    </w:rPr>
  </w:style>
  <w:style w:type="table" w:styleId="19">
    <w:name w:val="Table Grid"/>
    <w:basedOn w:val="18"/>
    <w:qFormat/>
    <w:uiPriority w:val="99"/>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1">
    <w:name w:val="Heading 1 Char"/>
    <w:basedOn w:val="20"/>
    <w:link w:val="7"/>
    <w:qFormat/>
    <w:locked/>
    <w:uiPriority w:val="99"/>
    <w:rPr>
      <w:rFonts w:ascii="等线" w:hAnsi="等线" w:eastAsia="等线" w:cs="Times New Roman"/>
      <w:b/>
      <w:bCs/>
      <w:kern w:val="44"/>
      <w:sz w:val="44"/>
      <w:szCs w:val="44"/>
    </w:rPr>
  </w:style>
  <w:style w:type="character" w:customStyle="1" w:styleId="22">
    <w:name w:val="Heading 2 Char"/>
    <w:basedOn w:val="20"/>
    <w:link w:val="9"/>
    <w:semiHidden/>
    <w:qFormat/>
    <w:locked/>
    <w:uiPriority w:val="99"/>
    <w:rPr>
      <w:rFonts w:ascii="Cambria" w:hAnsi="Cambria" w:eastAsia="宋体" w:cs="Times New Roman"/>
      <w:b/>
      <w:bCs/>
      <w:sz w:val="32"/>
      <w:szCs w:val="32"/>
    </w:rPr>
  </w:style>
  <w:style w:type="character" w:customStyle="1" w:styleId="23">
    <w:name w:val="Heading 3 Char"/>
    <w:basedOn w:val="20"/>
    <w:link w:val="10"/>
    <w:semiHidden/>
    <w:qFormat/>
    <w:locked/>
    <w:uiPriority w:val="99"/>
    <w:rPr>
      <w:rFonts w:ascii="等线" w:hAnsi="等线" w:eastAsia="等线" w:cs="Times New Roman"/>
      <w:b/>
      <w:bCs/>
      <w:sz w:val="32"/>
      <w:szCs w:val="32"/>
    </w:rPr>
  </w:style>
  <w:style w:type="character" w:customStyle="1" w:styleId="24">
    <w:name w:val="Heading 4 Char"/>
    <w:basedOn w:val="20"/>
    <w:link w:val="11"/>
    <w:semiHidden/>
    <w:qFormat/>
    <w:locked/>
    <w:uiPriority w:val="99"/>
    <w:rPr>
      <w:rFonts w:ascii="Cambria" w:hAnsi="Cambria" w:eastAsia="宋体" w:cs="Times New Roman"/>
      <w:b/>
      <w:bCs/>
      <w:sz w:val="28"/>
      <w:szCs w:val="28"/>
    </w:rPr>
  </w:style>
  <w:style w:type="character" w:customStyle="1" w:styleId="25">
    <w:name w:val="Body Text Indent Char"/>
    <w:basedOn w:val="20"/>
    <w:link w:val="3"/>
    <w:semiHidden/>
    <w:qFormat/>
    <w:locked/>
    <w:uiPriority w:val="99"/>
    <w:rPr>
      <w:rFonts w:ascii="等线" w:hAnsi="等线" w:eastAsia="等线" w:cs="Times New Roman"/>
    </w:rPr>
  </w:style>
  <w:style w:type="character" w:customStyle="1" w:styleId="26">
    <w:name w:val="Body Text First Indent 2 Char"/>
    <w:basedOn w:val="25"/>
    <w:link w:val="2"/>
    <w:semiHidden/>
    <w:qFormat/>
    <w:locked/>
    <w:uiPriority w:val="99"/>
  </w:style>
  <w:style w:type="character" w:customStyle="1" w:styleId="27">
    <w:name w:val="Document Map Char"/>
    <w:basedOn w:val="20"/>
    <w:link w:val="13"/>
    <w:semiHidden/>
    <w:qFormat/>
    <w:locked/>
    <w:uiPriority w:val="99"/>
    <w:rPr>
      <w:rFonts w:eastAsia="等线" w:cs="Times New Roman"/>
      <w:sz w:val="2"/>
    </w:rPr>
  </w:style>
  <w:style w:type="character" w:customStyle="1" w:styleId="28">
    <w:name w:val="Body Text Char"/>
    <w:basedOn w:val="20"/>
    <w:link w:val="14"/>
    <w:semiHidden/>
    <w:qFormat/>
    <w:locked/>
    <w:uiPriority w:val="99"/>
    <w:rPr>
      <w:rFonts w:ascii="等线" w:hAnsi="等线" w:eastAsia="等线" w:cs="Times New Roman"/>
    </w:rPr>
  </w:style>
  <w:style w:type="character" w:customStyle="1" w:styleId="29">
    <w:name w:val="Plain Text Char"/>
    <w:basedOn w:val="20"/>
    <w:link w:val="15"/>
    <w:semiHidden/>
    <w:qFormat/>
    <w:locked/>
    <w:uiPriority w:val="99"/>
    <w:rPr>
      <w:rFonts w:ascii="宋体" w:hAnsi="Courier New" w:cs="Courier New"/>
      <w:sz w:val="21"/>
      <w:szCs w:val="21"/>
    </w:rPr>
  </w:style>
  <w:style w:type="character" w:customStyle="1" w:styleId="30">
    <w:name w:val="Footer Char"/>
    <w:basedOn w:val="20"/>
    <w:link w:val="16"/>
    <w:semiHidden/>
    <w:qFormat/>
    <w:locked/>
    <w:uiPriority w:val="99"/>
    <w:rPr>
      <w:rFonts w:ascii="等线" w:hAnsi="等线" w:eastAsia="等线" w:cs="Times New Roman"/>
      <w:sz w:val="18"/>
      <w:szCs w:val="18"/>
    </w:rPr>
  </w:style>
  <w:style w:type="character" w:customStyle="1" w:styleId="31">
    <w:name w:val="Header Char"/>
    <w:basedOn w:val="20"/>
    <w:link w:val="17"/>
    <w:semiHidden/>
    <w:qFormat/>
    <w:locked/>
    <w:uiPriority w:val="99"/>
    <w:rPr>
      <w:rFonts w:ascii="等线" w:hAnsi="等线" w:eastAsia="等线" w:cs="Times New Roman"/>
      <w:sz w:val="18"/>
      <w:szCs w:val="18"/>
    </w:rPr>
  </w:style>
  <w:style w:type="paragraph" w:customStyle="1" w:styleId="32">
    <w:name w:val="正文文本2"/>
    <w:basedOn w:val="1"/>
    <w:qFormat/>
    <w:uiPriority w:val="99"/>
    <w:pPr>
      <w:autoSpaceDE w:val="0"/>
      <w:autoSpaceDN w:val="0"/>
      <w:jc w:val="left"/>
    </w:pPr>
    <w:rPr>
      <w:rFonts w:ascii="宋体" w:hAnsi="宋体" w:eastAsia="宋体"/>
      <w:sz w:val="20"/>
      <w:szCs w:val="21"/>
      <w:lang w:val="zh-CN"/>
    </w:rPr>
  </w:style>
  <w:style w:type="paragraph" w:customStyle="1" w:styleId="33">
    <w:name w:val="列出段落7"/>
    <w:basedOn w:val="1"/>
    <w:qFormat/>
    <w:uiPriority w:val="99"/>
    <w:pPr>
      <w:ind w:left="400" w:firstLine="420"/>
    </w:pPr>
    <w:rPr>
      <w:rFonts w:ascii="宋体" w:hAnsi="宋体" w:eastAsia="宋体" w:cs="宋体"/>
      <w:szCs w:val="21"/>
    </w:rPr>
  </w:style>
  <w:style w:type="paragraph" w:customStyle="1" w:styleId="34">
    <w:name w:val="样式8"/>
    <w:basedOn w:val="35"/>
    <w:qFormat/>
    <w:uiPriority w:val="99"/>
  </w:style>
  <w:style w:type="paragraph" w:customStyle="1" w:styleId="35">
    <w:name w:val="一级标题"/>
    <w:basedOn w:val="1"/>
    <w:qFormat/>
    <w:uiPriority w:val="99"/>
    <w:pPr>
      <w:adjustRightInd w:val="0"/>
      <w:snapToGrid w:val="0"/>
      <w:jc w:val="center"/>
      <w:outlineLvl w:val="0"/>
    </w:pPr>
    <w:rPr>
      <w:rFonts w:ascii="黑体" w:hAnsi="宋体" w:eastAsia="黑体" w:cs="宋体"/>
      <w:b/>
      <w:sz w:val="28"/>
      <w:szCs w:val="28"/>
    </w:rPr>
  </w:style>
  <w:style w:type="paragraph" w:customStyle="1" w:styleId="36">
    <w:name w:val="Table Paragraph"/>
    <w:basedOn w:val="1"/>
    <w:qFormat/>
    <w:uiPriority w:val="99"/>
    <w:pPr>
      <w:autoSpaceDE w:val="0"/>
      <w:autoSpaceDN w:val="0"/>
      <w:jc w:val="left"/>
    </w:pPr>
    <w:rPr>
      <w:rFonts w:ascii="宋体" w:hAnsi="宋体" w:eastAsia="宋体" w:cs="宋体"/>
      <w:sz w:val="22"/>
      <w:lang w:val="zh-CN"/>
    </w:rPr>
  </w:style>
  <w:style w:type="paragraph" w:customStyle="1" w:styleId="37">
    <w:name w:val="列出段落1"/>
    <w:basedOn w:val="1"/>
    <w:qFormat/>
    <w:uiPriority w:val="99"/>
    <w:pPr>
      <w:autoSpaceDE w:val="0"/>
      <w:autoSpaceDN w:val="0"/>
      <w:ind w:left="240" w:firstLine="420"/>
      <w:jc w:val="left"/>
    </w:pPr>
    <w:rPr>
      <w:rFonts w:ascii="宋体" w:hAnsi="宋体" w:eastAsia="宋体" w:cs="宋体"/>
      <w:sz w:val="22"/>
      <w:lang w:val="zh-CN"/>
    </w:rPr>
  </w:style>
  <w:style w:type="paragraph" w:customStyle="1" w:styleId="38">
    <w:name w:val="列出段落1111"/>
    <w:basedOn w:val="1"/>
    <w:qFormat/>
    <w:uiPriority w:val="99"/>
    <w:pPr>
      <w:autoSpaceDE w:val="0"/>
      <w:autoSpaceDN w:val="0"/>
      <w:ind w:firstLine="420" w:firstLineChars="200"/>
    </w:pPr>
    <w:rPr>
      <w:rFonts w:ascii="Calibri" w:hAnsi="Calibri" w:eastAsia="宋体"/>
      <w:sz w:val="22"/>
      <w:szCs w:val="20"/>
    </w:rPr>
  </w:style>
  <w:style w:type="paragraph" w:customStyle="1" w:styleId="39">
    <w:name w:val="正文文本3"/>
    <w:basedOn w:val="1"/>
    <w:qFormat/>
    <w:uiPriority w:val="99"/>
    <w:pPr>
      <w:autoSpaceDE w:val="0"/>
      <w:autoSpaceDN w:val="0"/>
      <w:jc w:val="left"/>
    </w:pPr>
    <w:rPr>
      <w:rFonts w:ascii="宋体" w:hAnsi="宋体" w:eastAsia="宋体"/>
      <w:sz w:val="20"/>
      <w:szCs w:val="21"/>
      <w:lang w:val="zh-CN"/>
    </w:rPr>
  </w:style>
  <w:style w:type="character" w:customStyle="1" w:styleId="40">
    <w:name w:val="标题 1.1 Char1"/>
    <w:qFormat/>
    <w:uiPriority w:val="99"/>
    <w:rPr>
      <w:rFonts w:ascii="Arial" w:hAnsi="Arial" w:eastAsia="黑体"/>
      <w:b/>
      <w:kern w:val="2"/>
      <w:sz w:val="24"/>
    </w:rPr>
  </w:style>
  <w:style w:type="paragraph" w:customStyle="1" w:styleId="41">
    <w:name w:val="bgg"/>
    <w:basedOn w:val="42"/>
    <w:qFormat/>
    <w:uiPriority w:val="99"/>
    <w:pPr>
      <w:snapToGrid w:val="0"/>
      <w:ind w:left="52" w:leftChars="25" w:right="52" w:rightChars="25"/>
      <w:jc w:val="center"/>
    </w:pPr>
    <w:rPr>
      <w:rFonts w:ascii="Times New Roman" w:hAnsi="Times New Roman"/>
      <w:sz w:val="18"/>
      <w:szCs w:val="18"/>
    </w:rPr>
  </w:style>
  <w:style w:type="paragraph" w:customStyle="1" w:styleId="42">
    <w:name w:val="默认段落字体 Para Char Char Char Char"/>
    <w:basedOn w:val="1"/>
    <w:qFormat/>
    <w:uiPriority w:val="99"/>
    <w:pPr>
      <w:autoSpaceDE w:val="0"/>
      <w:autoSpaceDN w:val="0"/>
    </w:pPr>
    <w:rPr>
      <w:rFonts w:ascii="宋体" w:hAnsi="宋体" w:eastAsia="宋体"/>
      <w:b/>
      <w:color w:val="000000"/>
      <w:sz w:val="24"/>
      <w:szCs w:val="24"/>
      <w:lang w:val="zh-CN"/>
    </w:rPr>
  </w:style>
  <w:style w:type="paragraph" w:customStyle="1" w:styleId="43">
    <w:name w:val="p0"/>
    <w:basedOn w:val="1"/>
    <w:qFormat/>
    <w:uiPriority w:val="99"/>
    <w:pPr>
      <w:widowControl/>
      <w:autoSpaceDE w:val="0"/>
      <w:autoSpaceDN w:val="0"/>
    </w:pPr>
    <w:rPr>
      <w:rFonts w:ascii="Times New Roman" w:hAnsi="Times New Roman" w:eastAsia="宋体"/>
      <w:szCs w:val="21"/>
    </w:rPr>
  </w:style>
  <w:style w:type="paragraph" w:customStyle="1" w:styleId="44">
    <w:name w:val="纯文本2"/>
    <w:basedOn w:val="1"/>
    <w:qFormat/>
    <w:uiPriority w:val="99"/>
    <w:pPr>
      <w:adjustRightInd w:val="0"/>
      <w:textAlignment w:val="baseline"/>
    </w:pPr>
    <w:rPr>
      <w:rFonts w:ascii="宋体" w:hAnsi="Courier New" w:eastAsia="宋体"/>
      <w:szCs w:val="20"/>
      <w:lang w:val="zh-CN"/>
    </w:rPr>
  </w:style>
  <w:style w:type="paragraph" w:customStyle="1" w:styleId="45">
    <w:name w:val="列出段落111"/>
    <w:basedOn w:val="1"/>
    <w:qFormat/>
    <w:uiPriority w:val="99"/>
    <w:pPr>
      <w:autoSpaceDE w:val="0"/>
      <w:autoSpaceDN w:val="0"/>
      <w:ind w:firstLine="420" w:firstLineChars="200"/>
    </w:pPr>
    <w:rPr>
      <w:rFonts w:ascii="Calibri" w:hAnsi="Calibri" w:eastAsia="宋体"/>
      <w:szCs w:val="20"/>
    </w:rPr>
  </w:style>
  <w:style w:type="paragraph" w:customStyle="1" w:styleId="46">
    <w:name w:val="A标题3"/>
    <w:basedOn w:val="10"/>
    <w:next w:val="1"/>
    <w:qFormat/>
    <w:uiPriority w:val="99"/>
    <w:pPr>
      <w:keepNext/>
      <w:keepLines/>
      <w:tabs>
        <w:tab w:val="left" w:pos="720"/>
        <w:tab w:val="left" w:pos="851"/>
      </w:tabs>
      <w:autoSpaceDE/>
      <w:autoSpaceDN/>
      <w:adjustRightInd w:val="0"/>
      <w:spacing w:line="360" w:lineRule="auto"/>
      <w:jc w:val="both"/>
      <w:textAlignment w:val="baseline"/>
    </w:pPr>
    <w:rPr>
      <w:rFonts w:ascii="Calibri" w:hAnsi="Calibri"/>
      <w:b/>
      <w:kern w:val="24"/>
      <w:sz w:val="24"/>
      <w:szCs w:val="20"/>
    </w:rPr>
  </w:style>
  <w:style w:type="character" w:customStyle="1" w:styleId="47">
    <w:name w:val="font11"/>
    <w:basedOn w:val="20"/>
    <w:qFormat/>
    <w:uiPriority w:val="99"/>
    <w:rPr>
      <w:rFonts w:ascii="宋体" w:hAnsi="宋体" w:eastAsia="宋体" w:cs="宋体"/>
      <w:color w:val="000000"/>
      <w:sz w:val="22"/>
      <w:szCs w:val="22"/>
      <w:u w:val="none"/>
    </w:rPr>
  </w:style>
  <w:style w:type="character" w:customStyle="1" w:styleId="48">
    <w:name w:val="font112"/>
    <w:basedOn w:val="20"/>
    <w:qFormat/>
    <w:uiPriority w:val="99"/>
    <w:rPr>
      <w:rFonts w:ascii="宋体" w:hAnsi="宋体" w:eastAsia="宋体" w:cs="宋体"/>
      <w:color w:val="ED7D31"/>
      <w:sz w:val="22"/>
      <w:szCs w:val="22"/>
      <w:u w:val="none"/>
    </w:rPr>
  </w:style>
  <w:style w:type="character" w:customStyle="1" w:styleId="49">
    <w:name w:val="font51"/>
    <w:basedOn w:val="20"/>
    <w:qFormat/>
    <w:uiPriority w:val="99"/>
    <w:rPr>
      <w:rFonts w:ascii="Times New Roman" w:hAnsi="Times New Roman" w:cs="Times New Roman"/>
      <w:color w:val="000000"/>
      <w:sz w:val="21"/>
      <w:szCs w:val="21"/>
      <w:u w:val="none"/>
    </w:rPr>
  </w:style>
  <w:style w:type="character" w:customStyle="1" w:styleId="50">
    <w:name w:val="font61"/>
    <w:basedOn w:val="20"/>
    <w:qFormat/>
    <w:uiPriority w:val="99"/>
    <w:rPr>
      <w:rFonts w:ascii="宋体" w:hAnsi="宋体" w:eastAsia="宋体" w:cs="宋体"/>
      <w:color w:val="000000"/>
      <w:sz w:val="21"/>
      <w:szCs w:val="21"/>
      <w:u w:val="none"/>
    </w:rPr>
  </w:style>
  <w:style w:type="character" w:customStyle="1" w:styleId="51">
    <w:name w:val="font31"/>
    <w:basedOn w:val="20"/>
    <w:qFormat/>
    <w:uiPriority w:val="99"/>
    <w:rPr>
      <w:rFonts w:ascii="宋体" w:hAnsi="宋体" w:eastAsia="宋体" w:cs="宋体"/>
      <w:color w:val="000000"/>
      <w:sz w:val="21"/>
      <w:szCs w:val="21"/>
      <w:u w:val="none"/>
    </w:rPr>
  </w:style>
  <w:style w:type="character" w:customStyle="1" w:styleId="52">
    <w:name w:val="font21"/>
    <w:basedOn w:val="20"/>
    <w:qFormat/>
    <w:uiPriority w:val="99"/>
    <w:rPr>
      <w:rFonts w:ascii="Times New Roman" w:hAnsi="Times New Roman" w:cs="Times New Roman"/>
      <w:color w:val="000000"/>
      <w:sz w:val="21"/>
      <w:szCs w:val="21"/>
      <w:u w:val="none"/>
    </w:rPr>
  </w:style>
  <w:style w:type="character" w:customStyle="1" w:styleId="53">
    <w:name w:val="font41"/>
    <w:basedOn w:val="20"/>
    <w:qFormat/>
    <w:uiPriority w:val="99"/>
    <w:rPr>
      <w:rFonts w:ascii="Times New Roman" w:hAnsi="Times New Roman" w:cs="Times New Roman"/>
      <w:color w:val="000000"/>
      <w:sz w:val="21"/>
      <w:szCs w:val="21"/>
      <w:u w:val="none"/>
    </w:rPr>
  </w:style>
  <w:style w:type="character" w:customStyle="1" w:styleId="54">
    <w:name w:val="font01"/>
    <w:basedOn w:val="20"/>
    <w:qFormat/>
    <w:uiPriority w:val="99"/>
    <w:rPr>
      <w:rFonts w:ascii="Times New Roman" w:hAnsi="Times New Roman" w:cs="Times New Roman"/>
      <w:color w:val="000000"/>
      <w:sz w:val="21"/>
      <w:szCs w:val="21"/>
      <w:u w:val="none"/>
    </w:rPr>
  </w:style>
  <w:style w:type="character" w:customStyle="1" w:styleId="55">
    <w:name w:val="font71"/>
    <w:basedOn w:val="20"/>
    <w:qFormat/>
    <w:uiPriority w:val="0"/>
    <w:rPr>
      <w:rFonts w:hint="eastAsia" w:ascii="宋体" w:hAnsi="宋体" w:eastAsia="宋体" w:cs="宋体"/>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2.emf"/><Relationship Id="rId15" Type="http://schemas.openxmlformats.org/officeDocument/2006/relationships/oleObject" Target="embeddings/oleObject2.bin"/><Relationship Id="rId14" Type="http://schemas.openxmlformats.org/officeDocument/2006/relationships/image" Target="media/image1.emf"/><Relationship Id="rId13" Type="http://schemas.openxmlformats.org/officeDocument/2006/relationships/oleObject" Target="embeddings/oleObject1.bin"/><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Template>
  <Pages>11</Pages>
  <Words>6857</Words>
  <Characters>7340</Characters>
  <Lines>0</Lines>
  <Paragraphs>0</Paragraphs>
  <TotalTime>3</TotalTime>
  <ScaleCrop>false</ScaleCrop>
  <LinksUpToDate>false</LinksUpToDate>
  <CharactersWithSpaces>7392</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2024-09-04T09:40:00Z</dcterms:created>
  <dc:creator>lg</dc:creator>
  <cp:lastModifiedBy>Qiaob</cp:lastModifiedBy>
  <dcterms:modified xsi:type="dcterms:W3CDTF">2026-04-30T04:51:58Z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B8B3084A001340048E4C54546A5F7205</vt:lpwstr>
  </property>
  <property fmtid="{D5CDD505-2E9C-101B-9397-08002B2CF9AE}" pid="4" name="KSOTemplateDocerSaveRecord">
    <vt:lpwstr>eyJoZGlkIjoiNzZkZjA3ZTlkZjJkNmI1MmU5ZjI2M2VjZDYyYWM2OGQiLCJ1c2VySWQiOiIyNTMyMDY3MjIifQ==</vt:lpwstr>
  </property>
</Properties>
</file>