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Information Security Policy</w:t>
      </w:r>
    </w:p>
    <w:p>
      <w:pPr>
        <w:pStyle w:val="Heading2"/>
      </w:pPr>
      <w:r>
        <w:t>Passwords and Authentication</w:t>
      </w:r>
    </w:p>
    <w:p>
      <w:r>
        <w:t>All passwords must be at least 14 characters long. We do not force periodic password changes; you must change a password immediately if you suspect it has been exposed.</w:t>
      </w:r>
    </w:p>
    <w:p>
      <w:r>
        <w:t>Multi-factor authentication is mandatory for every company account. Administrators must use a hardware security key as their second factor; authenticator apps are not sufficient for admin access.</w:t>
      </w:r>
    </w:p>
    <w:p>
      <w:r>
        <w:t>Never reuse your company password on any other website, and store all credentials in the approved password manager.</w:t>
      </w:r>
    </w:p>
    <w:p>
      <w:pPr>
        <w:pStyle w:val="Heading2"/>
      </w:pPr>
      <w:r>
        <w:t>Device Security</w:t>
      </w:r>
    </w:p>
    <w:p>
      <w:r>
        <w:t>Full-disk encryption (FileVault on macOS, BitLocker on Windows) is mandatory on every laptop that accesses company data. Screens must lock automatically after five minutes of inactivity.</w:t>
      </w:r>
    </w:p>
    <w:p>
      <w:r>
        <w:t>If a laptop or phone with company data is lost or stolen, report it to security@northwind.example within one hour so the device can be wiped remotely.</w:t>
      </w:r>
    </w:p>
    <w:p>
      <w:pPr>
        <w:pStyle w:val="Heading2"/>
      </w:pPr>
      <w:r>
        <w:t>Access Reviews</w:t>
      </w:r>
    </w:p>
    <w:p>
      <w:r>
        <w:t>Managers review the system access of their team members every quarter. Access that is no longer needed is removed within five working days of the review.</w:t>
      </w:r>
    </w:p>
    <w:p>
      <w:r>
        <w:t>When an employee leaves, all of their accounts are disabled on their last working day.</w:t>
      </w:r>
    </w:p>
    <w:p>
      <w:pPr>
        <w:pStyle w:val="Heading2"/>
      </w:pPr>
      <w:r>
        <w:t>Data Classification</w:t>
      </w:r>
    </w:p>
    <w:p>
      <w:r>
        <w:t>Information is classified as Public, Internal, Confidential or Restricted. Restricted data, such as customer payment details and health information, may only be accessed with written approval from the data owner.</w:t>
      </w:r>
    </w:p>
    <w:p>
      <w:r>
        <w:t>Confidential and Restricted data must never be pasted into unapproved third-party tools.</w:t>
      </w:r>
    </w:p>
    <w:p>
      <w:pPr>
        <w:pStyle w:val="Heading2"/>
      </w:pPr>
      <w:r>
        <w:t>Vulnerability Management</w:t>
      </w:r>
    </w:p>
    <w:p>
      <w:r>
        <w:t>Critical vulnerabilities must be patched within 7 days of disclosure. High-severity vulnerabilities must be patched within 30 days, and medium-severity ones within 90 days.</w:t>
      </w:r>
    </w:p>
    <w:p>
      <w:r>
        <w:t>Exceptions require a documented risk acceptance signed by the CISO.</w:t>
      </w:r>
    </w:p>
    <w:p>
      <w:pPr>
        <w:pStyle w:val="Heading2"/>
      </w:pPr>
      <w:r>
        <w:t>Security Training</w:t>
      </w:r>
    </w:p>
    <w:p>
      <w:r>
        <w:t>All employees complete security awareness training when they join and once a year afterwards. We also run a simulated phishing exercise every month; anyone who clicks a simulated phishing link is enrolled in a short refresher course.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Northwind Labs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