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8C9" w:rsidRPr="006D68C9" w:rsidRDefault="006D68C9" w:rsidP="006D68C9">
      <w:pPr>
        <w:pStyle w:val="Heading1"/>
        <w:rPr>
          <w:sz w:val="25"/>
          <w:szCs w:val="25"/>
        </w:rPr>
      </w:pPr>
      <w:r w:rsidRPr="006D68C9">
        <w:rPr>
          <w:sz w:val="25"/>
          <w:szCs w:val="25"/>
        </w:rPr>
        <w:t xml:space="preserve">1. </w:t>
      </w:r>
      <w:bookmarkStart w:id="0" w:name="_GoBack"/>
      <w:bookmarkEnd w:id="0"/>
      <w:r w:rsidRPr="006D68C9">
        <w:rPr>
          <w:sz w:val="25"/>
          <w:szCs w:val="25"/>
        </w:rPr>
        <w:t>Purpose of This Report</w:t>
      </w:r>
    </w:p>
    <w:p w:rsidR="006D68C9" w:rsidRPr="006D68C9" w:rsidRDefault="006D68C9" w:rsidP="006D68C9">
      <w:pPr>
        <w:pStyle w:val="Heading2"/>
        <w:rPr>
          <w:rFonts w:eastAsiaTheme="minorEastAsia"/>
        </w:rPr>
      </w:pPr>
      <w:r w:rsidRPr="006D68C9">
        <w:t xml:space="preserve">1.1 </w:t>
      </w:r>
      <w:r>
        <w:t>Overviews</w:t>
      </w:r>
    </w:p>
    <w:p w:rsidR="006D68C9" w:rsidRPr="006D68C9" w:rsidRDefault="006D68C9" w:rsidP="006D68C9">
      <w:pPr>
        <w:rPr>
          <w:rFonts w:cs="Arial"/>
          <w:sz w:val="25"/>
          <w:szCs w:val="25"/>
        </w:rPr>
      </w:pPr>
      <w:r w:rsidRPr="006D68C9">
        <w:rPr>
          <w:rFonts w:cs="Arial"/>
          <w:sz w:val="25"/>
          <w:szCs w:val="25"/>
        </w:rPr>
        <w:t>Verify, within the defined period, whether AI utilization enables DAT alone to execute integration testing and beyond (test case creation, execution, and high-precision review), and report the results.</w:t>
      </w:r>
    </w:p>
    <w:p w:rsidR="006D68C9" w:rsidRPr="006D68C9" w:rsidRDefault="006D68C9" w:rsidP="006D68C9">
      <w:pPr>
        <w:rPr>
          <w:rFonts w:cs="Arial"/>
          <w:sz w:val="25"/>
          <w:szCs w:val="25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34D8D" w:rsidTr="00D34D8D">
        <w:trPr>
          <w:jc w:val="center"/>
        </w:trPr>
        <w:tc>
          <w:tcPr>
            <w:tcW w:w="9360" w:type="dxa"/>
            <w:tcBorders>
              <w:top w:val="nil"/>
              <w:left w:val="single" w:sz="24" w:space="0" w:color="1B365D"/>
              <w:bottom w:val="nil"/>
              <w:right w:val="nil"/>
            </w:tcBorders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34D8D" w:rsidRDefault="00D34D8D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20"/>
              </w:rPr>
              <w:t>■ DIRECT ALIGNMENT WITH CUSTOMER MANDATE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color w:val="333333"/>
                <w:sz w:val="20"/>
              </w:rPr>
              <w:t>In direct alignment with the Customer's feedback, this revised proposal pivots entirely away from tool architecture and focuses strictly on the 4 mandatory deliverables:</w:t>
            </w:r>
            <w:r>
              <w:rPr>
                <w:color w:val="333333"/>
                <w:sz w:val="20"/>
              </w:rPr>
              <w:br/>
              <w:t>1. Executed Test Cases: Comprehensive test suite for Integration Phase.</w:t>
            </w:r>
            <w:r>
              <w:rPr>
                <w:color w:val="333333"/>
                <w:sz w:val="20"/>
              </w:rPr>
              <w:br/>
              <w:t>2. Verification of Test Case Sufficiency: Multi-layered adequacy proof, evaluating alignment with Requirement Specifications (</w:t>
            </w:r>
            <w:r>
              <w:rPr>
                <w:rFonts w:hint="eastAsia"/>
                <w:color w:val="333333"/>
                <w:sz w:val="20"/>
              </w:rPr>
              <w:t>機能概要・設計方針</w:t>
            </w:r>
            <w:r>
              <w:rPr>
                <w:color w:val="333333"/>
                <w:sz w:val="20"/>
              </w:rPr>
              <w:t>) and detection of unstated/implicit business perspectives.</w:t>
            </w:r>
            <w:r>
              <w:rPr>
                <w:color w:val="333333"/>
                <w:sz w:val="20"/>
              </w:rPr>
              <w:br/>
              <w:t>3. DAT Execution Content: Detailed operational methodology for case creation, execution, and high-accuracy reviews.</w:t>
            </w:r>
            <w:r>
              <w:rPr>
                <w:color w:val="333333"/>
                <w:sz w:val="20"/>
              </w:rPr>
              <w:br/>
              <w:t>4. Quantitative Efficiency &amp; Effort Savings: Concrete metrics showing man-hours spent and efficiency gained through AI.</w:t>
            </w:r>
          </w:p>
        </w:tc>
      </w:tr>
    </w:tbl>
    <w:p w:rsidR="006D68C9" w:rsidRPr="006D68C9" w:rsidRDefault="006D68C9" w:rsidP="006D68C9">
      <w:pPr>
        <w:rPr>
          <w:rFonts w:cs="Arial"/>
          <w:sz w:val="25"/>
          <w:szCs w:val="25"/>
        </w:rPr>
      </w:pPr>
    </w:p>
    <w:p w:rsidR="006D68C9" w:rsidRPr="006D68C9" w:rsidRDefault="006D68C9" w:rsidP="006D68C9">
      <w:pPr>
        <w:rPr>
          <w:rFonts w:cs="Arial"/>
          <w:sz w:val="25"/>
          <w:szCs w:val="25"/>
        </w:rPr>
      </w:pPr>
    </w:p>
    <w:p w:rsidR="006D68C9" w:rsidRPr="006D68C9" w:rsidRDefault="006D68C9" w:rsidP="006D68C9">
      <w:pPr>
        <w:rPr>
          <w:rFonts w:cs="Arial"/>
          <w:sz w:val="25"/>
          <w:szCs w:val="25"/>
        </w:rPr>
      </w:pPr>
      <w:r w:rsidRPr="006D68C9">
        <w:rPr>
          <w:rFonts w:cs="Arial"/>
          <w:sz w:val="25"/>
          <w:szCs w:val="25"/>
        </w:rPr>
        <w:t xml:space="preserve">1.2 Scope and Target— </w:t>
      </w:r>
      <w:r w:rsidRPr="006D68C9">
        <w:rPr>
          <w:rFonts w:eastAsia="SimSun" w:cs="Arial"/>
          <w:sz w:val="25"/>
          <w:szCs w:val="25"/>
        </w:rPr>
        <w:t>定時的</w:t>
      </w:r>
    </w:p>
    <w:p w:rsidR="006D68C9" w:rsidRDefault="006D68C9" w:rsidP="006D68C9">
      <w:pPr>
        <w:rPr>
          <w:rFonts w:cs="Arial" w:hint="eastAsia"/>
          <w:sz w:val="25"/>
          <w:szCs w:val="25"/>
        </w:rPr>
      </w:pPr>
      <w:r w:rsidRPr="006D68C9">
        <w:rPr>
          <w:rFonts w:cs="Arial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4B76774" wp14:editId="4B08AFBF">
                <wp:simplePos x="0" y="0"/>
                <wp:positionH relativeFrom="column">
                  <wp:posOffset>-31750</wp:posOffset>
                </wp:positionH>
                <wp:positionV relativeFrom="paragraph">
                  <wp:posOffset>97790</wp:posOffset>
                </wp:positionV>
                <wp:extent cx="6705600" cy="2257425"/>
                <wp:effectExtent l="0" t="0" r="19050" b="2857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257425"/>
                          <a:chOff x="0" y="0"/>
                          <a:chExt cx="8129123" cy="2343912"/>
                        </a:xfrm>
                      </wpg:grpSpPr>
                      <wps:wsp>
                        <wps:cNvPr id="6" name="Shape 4"/>
                        <wps:cNvSpPr/>
                        <wps:spPr>
                          <a:xfrm>
                            <a:off x="0" y="0"/>
                            <a:ext cx="2377440" cy="438912"/>
                          </a:xfrm>
                          <a:prstGeom prst="rect">
                            <a:avLst/>
                          </a:prstGeom>
                          <a:solidFill>
                            <a:srgbClr val="F4F5F7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5" name="Text 5"/>
                        <wps:cNvSpPr/>
                        <wps:spPr>
                          <a:xfrm>
                            <a:off x="133350" y="0"/>
                            <a:ext cx="2182446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b/>
                                  <w:bCs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Target Function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6" name="Shape 6"/>
                        <wps:cNvSpPr/>
                        <wps:spPr>
                          <a:xfrm>
                            <a:off x="2409825" y="0"/>
                            <a:ext cx="5719298" cy="438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7" name="Text 7"/>
                        <wps:cNvSpPr/>
                        <wps:spPr>
                          <a:xfrm>
                            <a:off x="2543175" y="0"/>
                            <a:ext cx="5440680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LOGIN-001 (Login / Authentication)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8" name="Shape 8"/>
                        <wps:cNvSpPr/>
                        <wps:spPr>
                          <a:xfrm>
                            <a:off x="0" y="476250"/>
                            <a:ext cx="2377440" cy="438912"/>
                          </a:xfrm>
                          <a:prstGeom prst="rect">
                            <a:avLst/>
                          </a:prstGeom>
                          <a:solidFill>
                            <a:srgbClr val="F4F5F7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9" name="Text 9"/>
                        <wps:cNvSpPr/>
                        <wps:spPr>
                          <a:xfrm>
                            <a:off x="133350" y="476250"/>
                            <a:ext cx="2182446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b/>
                                  <w:bCs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Test Case Type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40" name="Shape 10"/>
                        <wps:cNvSpPr/>
                        <wps:spPr>
                          <a:xfrm>
                            <a:off x="2409825" y="476250"/>
                            <a:ext cx="5719298" cy="438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3" name="Text 11"/>
                        <wps:cNvSpPr/>
                        <wps:spPr>
                          <a:xfrm>
                            <a:off x="2543175" y="476250"/>
                            <a:ext cx="5440680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4" name="Shape 12"/>
                        <wps:cNvSpPr/>
                        <wps:spPr>
                          <a:xfrm>
                            <a:off x="0" y="952500"/>
                            <a:ext cx="2377440" cy="438912"/>
                          </a:xfrm>
                          <a:prstGeom prst="rect">
                            <a:avLst/>
                          </a:prstGeom>
                          <a:solidFill>
                            <a:srgbClr val="F4F5F7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5" name="Text 13"/>
                        <wps:cNvSpPr/>
                        <wps:spPr>
                          <a:xfrm>
                            <a:off x="133350" y="952500"/>
                            <a:ext cx="2182446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b/>
                                  <w:bCs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Reference Documents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" name="Shape 14"/>
                        <wps:cNvSpPr/>
                        <wps:spPr>
                          <a:xfrm>
                            <a:off x="2409825" y="952500"/>
                            <a:ext cx="5719298" cy="438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7" name="Text 15"/>
                        <wps:cNvSpPr/>
                        <wps:spPr>
                          <a:xfrm>
                            <a:off x="2543175" y="952500"/>
                            <a:ext cx="5440680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Requirement Specification (</w:t>
                              </w:r>
                              <w:r>
                                <w:rPr>
                                  <w:rFonts w:ascii="SimSun" w:eastAsia="SimSun" w:hAnsi="SimSun" w:cs="SimSun" w:hint="eastAsia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要件定義書</w:t>
                              </w: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 xml:space="preserve"> v4.00), Basic Design, Detail Design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" name="Shape 16"/>
                        <wps:cNvSpPr/>
                        <wps:spPr>
                          <a:xfrm>
                            <a:off x="0" y="1428750"/>
                            <a:ext cx="2377440" cy="438912"/>
                          </a:xfrm>
                          <a:prstGeom prst="rect">
                            <a:avLst/>
                          </a:prstGeom>
                          <a:solidFill>
                            <a:srgbClr val="F4F5F7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9" name="Text 17"/>
                        <wps:cNvSpPr/>
                        <wps:spPr>
                          <a:xfrm>
                            <a:off x="133350" y="1428750"/>
                            <a:ext cx="2182446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b/>
                                  <w:bCs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Test Cases Created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" name="Shape 18"/>
                        <wps:cNvSpPr/>
                        <wps:spPr>
                          <a:xfrm>
                            <a:off x="2409825" y="1428750"/>
                            <a:ext cx="5719298" cy="438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1" name="Text 19"/>
                        <wps:cNvSpPr/>
                        <wps:spPr>
                          <a:xfrm>
                            <a:off x="2543175" y="1428750"/>
                            <a:ext cx="5440680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18 (</w:t>
                              </w:r>
                              <w:proofErr w:type="spellStart"/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 xml:space="preserve">-based engine — see </w:t>
                              </w:r>
                              <w:r>
                                <w:rPr>
                                  <w:rFonts w:ascii="Cambria Math" w:eastAsia="Yu Gothic" w:hAnsi="Cambria Math" w:cs="Cambria Math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②</w:t>
                              </w: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 xml:space="preserve"> for engine selection rationale)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" name="Shape 20"/>
                        <wps:cNvSpPr/>
                        <wps:spPr>
                          <a:xfrm>
                            <a:off x="0" y="1905000"/>
                            <a:ext cx="2377440" cy="438912"/>
                          </a:xfrm>
                          <a:prstGeom prst="rect">
                            <a:avLst/>
                          </a:prstGeom>
                          <a:solidFill>
                            <a:srgbClr val="F4F5F7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3" name="Text 21"/>
                        <wps:cNvSpPr/>
                        <wps:spPr>
                          <a:xfrm>
                            <a:off x="133350" y="1905000"/>
                            <a:ext cx="2182446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P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b/>
                                  <w:bCs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Execution Period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" name="Shape 22"/>
                        <wps:cNvSpPr/>
                        <wps:spPr>
                          <a:xfrm>
                            <a:off x="2409825" y="1905000"/>
                            <a:ext cx="5719298" cy="438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DCE0E6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" name="Text 23"/>
                        <wps:cNvSpPr/>
                        <wps:spPr>
                          <a:xfrm>
                            <a:off x="2543175" y="1905000"/>
                            <a:ext cx="5440680" cy="43891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6D68C9" w:rsidRDefault="006D68C9" w:rsidP="006D68C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color w:val="1F2A37"/>
                                  <w:kern w:val="24"/>
                                  <w:sz w:val="22"/>
                                  <w:szCs w:val="22"/>
                                </w:rPr>
                                <w:t>2026/7/3 – 2026/7/6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1" o:spid="_x0000_s1026" style="position:absolute;margin-left:-2.5pt;margin-top:7.7pt;width:528pt;height:177.75pt;z-index:251680768;mso-width-relative:margin;mso-height-relative:margin" coordsize="81291,23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">
                <v:rect id="Shape 4" o:spid="_x0000_s1027" style="position:absolute;width:23774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fpcsQA&#10;AADaAAAADwAAAGRycy9kb3ducmV2LnhtbESPT4vCMBTE78J+h/AWvGm6/ulKNcoiSD2Ioit4fTRv&#10;27LNS2lird/eCILHYWZ+wyxWnalES40rLSv4GkYgiDOrS84VnH83gxkI55E1VpZJwZ0crJYfvQUm&#10;2t74SO3J5yJA2CWooPC+TqR0WUEG3dDWxMH7s41BH2STS93gLcBNJUdRFEuDJYeFAmtaF5T9n65G&#10;wWa3u06m4+l+vL1Us0ObpufvOlWq/9n9zEF46vw7/GpvtYIYnlfCD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n6XLEAAAA2gAAAA8AAAAAAAAAAAAAAAAAmAIAAGRycy9k&#10;b3ducmV2LnhtbFBLBQYAAAAABAAEAPUAAACJAwAAAAA=&#10;" fillcolor="#f4f5f7" strokecolor="#dce0e6" strokeweight="1pt"/>
                <v:rect id="Text 5" o:spid="_x0000_s1028" style="position:absolute;left:1333;width:21824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0T8QA&#10;AADbAAAADwAAAGRycy9kb3ducmV2LnhtbESPQWvCQBSE74X+h+UVvBTdaGk1qauIVuOtqL309sg+&#10;N6HZtyG7avz3riD0OMzMN8x03tlanKn1lWMFw0ECgrhwumKj4Oew7k9A+ICssXZMCq7kYT57fppi&#10;pt2Fd3TeByMihH2GCsoQmkxKX5Rk0Q9cQxy9o2sthihbI3WLlwi3tRwlyYe0WHFcKLGhZUnF3/5k&#10;FYxXi1f6/nXH8JVu0tzs8k1qcqV6L93iE0SgLvyHH+2tVvD2Dvcv8Qf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JtE/EAAAA2wAAAA8AAAAAAAAAAAAAAAAAmAIAAGRycy9k&#10;b3ducmV2LnhtbFBLBQYAAAAABAAEAPUAAACJAwAAAAA=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b/>
                            <w:bCs/>
                            <w:color w:val="1F2A37"/>
                            <w:kern w:val="24"/>
                            <w:sz w:val="22"/>
                            <w:szCs w:val="22"/>
                          </w:rPr>
                          <w:t>Target Function</w:t>
                        </w:r>
                      </w:p>
                    </w:txbxContent>
                  </v:textbox>
                </v:rect>
                <v:rect id="Shape 6" o:spid="_x0000_s1029" style="position:absolute;left:24098;width:57193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o4SMYA&#10;AADbAAAADwAAAGRycy9kb3ducmV2LnhtbESPQWvCQBCF7wX/wzJCb3XTWkRTVxFRFOml6kFvY3aa&#10;hGZn0+w0xv76bqHQ4+PN+9686bxzlWqpCaVnA4+DBBRx5m3JuYHjYf0wBhUE2WLlmQzcKMB81rub&#10;Ymr9ld+o3UuuIoRDigYKkTrVOmQFOQwDXxNH7903DiXKJte2wWuEu0o/JclIOyw5NhRY07Kg7GP/&#10;5eIbw8253b2KrJ6TS3bbHfF7cvo05r7fLV5ACXXyf/yX3loDwxH8bokA0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o4SMYAAADbAAAADwAAAAAAAAAAAAAAAACYAgAAZHJz&#10;L2Rvd25yZXYueG1sUEsFBgAAAAAEAAQA9QAAAIsDAAAAAA==&#10;" strokecolor="#dce0e6" strokeweight="1pt"/>
                <v:rect id="Text 7" o:spid="_x0000_s1030" style="position:absolute;left:25431;width:54407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ePo8UA&#10;AADbAAAADwAAAGRycy9kb3ducmV2LnhtbESPT2vCQBTE74V+h+UVvEjdVKE2MatIq6a34p+Lt0f2&#10;ZROafRuyq6bfvlsQehxm5jdMvhpsK67U+8axgpdJAoK4dLpho+B03D6/gfABWWPrmBT8kIfV8vEh&#10;x0y7G+/peghGRAj7DBXUIXSZlL6syaKfuI44epXrLYYoeyN1j7cIt62cJsmrtNhwXKixo/eayu/D&#10;xSqYf6zH9HV2Vdiku7Qw+2KXmkKp0dOwXoAINIT/8L39qRXM5v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l4+jxQAAANsAAAAPAAAAAAAAAAAAAAAAAJgCAABkcnMv&#10;ZG93bnJldi54bWxQSwUGAAAAAAQABAD1AAAAigMAAAAA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>LOGIN-001 (Login / Authentication)</w:t>
                        </w:r>
                      </w:p>
                    </w:txbxContent>
                  </v:textbox>
                </v:rect>
                <v:rect id="Shape 8" o:spid="_x0000_s1031" style="position:absolute;top:4762;width:23774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IB98IA&#10;AADbAAAADwAAAGRycy9kb3ducmV2LnhtbERPTWvCQBC9F/wPywi9NRtNtRJdRQqSHKSlGuh1yI5J&#10;MDsbsmuS/vvuodDj433vDpNpxUC9aywrWEQxCOLS6oYrBcX19LIB4TyyxtYyKfghB4f97GmHqbYj&#10;f9Fw8ZUIIexSVFB736VSurImgy6yHXHgbrY36APsK6l7HEO4aeUyjtfSYMOhocaO3msq75eHUXA6&#10;nx+vq2T1keTf7eZzyLLircuUep5Pxy0IT5P/F/+5c60gCWPDl/AD5P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sgH3wgAAANsAAAAPAAAAAAAAAAAAAAAAAJgCAABkcnMvZG93&#10;bnJldi54bWxQSwUGAAAAAAQABAD1AAAAhwMAAAAA&#10;" fillcolor="#f4f5f7" strokecolor="#dce0e6" strokeweight="1pt"/>
                <v:rect id="Text 9" o:spid="_x0000_s1032" style="position:absolute;left:1333;top:4762;width:21824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S+S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jBJ4e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EvkrEAAAA2wAAAA8AAAAAAAAAAAAAAAAAmAIAAGRycy9k&#10;b3ducmV2LnhtbFBLBQYAAAAABAAEAPUAAACJAwAAAAA=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b/>
                            <w:bCs/>
                            <w:color w:val="1F2A37"/>
                            <w:kern w:val="24"/>
                            <w:sz w:val="22"/>
                            <w:szCs w:val="22"/>
                          </w:rPr>
                          <w:t>Test Case Type</w:t>
                        </w:r>
                      </w:p>
                    </w:txbxContent>
                  </v:textbox>
                </v:rect>
                <v:rect id="Shape 10" o:spid="_x0000_s1033" style="position:absolute;left:24098;top:4762;width:57193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l22sUA&#10;AADbAAAADwAAAGRycy9kb3ducmV2LnhtbESPwU7CQBCG7yS+w2ZMuMFWIUYrCzFGgyFeRA5yG7pj&#10;29idrd2hFJ/eOZh4nPzzf/PNYjWExvTUpTqyg6tpBoa4iL7m0sHu/XlyCyYJsscmMjk4U4LV8mK0&#10;wNzHE79Rv5XSKIRTjg4qkTa3NhUVBUzT2BJr9hm7gKJjV1rf4UnhobHXWXZjA9asFyps6bGi4mt7&#10;DKoxW+/7zavI0zw7FOfNDn/uPr6dG18OD/dghAb5X/5rv3gHc7XXXxQAd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WXbaxQAAANsAAAAPAAAAAAAAAAAAAAAAAJgCAABkcnMv&#10;ZG93bnJldi54bWxQSwUGAAAAAAQABAD1AAAAigMAAAAA&#10;" strokecolor="#dce0e6" strokeweight="1pt"/>
                <v:rect id="Text 11" o:spid="_x0000_s1034" style="position:absolute;left:25431;top:4762;width:54407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nVwMMA&#10;AADbAAAADwAAAGRycy9kb3ducmV2LnhtbERPS2vCQBC+C/0PyxR6Ed20QmvSbERaNd6Kj0tvQ3bc&#10;hGZnQ3bV9N93C4K3+fieky8G24oL9b5xrOB5moAgrpxu2Cg4HtaTOQgfkDW2jknBL3lYFA+jHDPt&#10;rryjyz4YEUPYZ6igDqHLpPRVTRb91HXEkTu53mKIsDdS93iN4baVL0nyKi02HBtq7Oijpupnf7YK&#10;3j6XY/r6dqewSjdpaXblJjWlUk+Pw/IdRKAh3MU391bH+TP4/yUeI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nVwMMAAADbAAAADwAAAAAAAAAAAAAAAACYAgAAZHJzL2Rv&#10;d25yZXYueG1sUEsFBgAAAAAEAAQA9QAAAIgDAAAAAA==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>Integration</w:t>
                        </w:r>
                      </w:p>
                    </w:txbxContent>
                  </v:textbox>
                </v:rect>
                <v:rect id="Shape 12" o:spid="_x0000_s1035" style="position:absolute;top:9525;width:23774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pXksEA&#10;AADbAAAADwAAAGRycy9kb3ducmV2LnhtbERPS4vCMBC+L+x/CLPgTdNdn1SjLILUgyhWwevQjG3Z&#10;ZlKaWOu/N4Kwt/n4nrNYdaYSLTWutKzgexCBIM6sLjlXcD5t+jMQziNrrCyTggc5WC0/PxYYa3vn&#10;I7Wpz0UIYRejgsL7OpbSZQUZdANbEwfuahuDPsAml7rBewg3lfyJook0WHJoKLCmdUHZX3ozCja7&#10;3W00Ho73w+2lmh3aJDlP60Sp3lf3OwfhqfP/4rd7q8P8Ebx+CQ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KV5LBAAAA2wAAAA8AAAAAAAAAAAAAAAAAmAIAAGRycy9kb3du&#10;cmV2LnhtbFBLBQYAAAAABAAEAPUAAACGAwAAAAA=&#10;" fillcolor="#f4f5f7" strokecolor="#dce0e6" strokeweight="1pt"/>
                <v:rect id="Text 13" o:spid="_x0000_s1036" style="position:absolute;left:1333;top:9525;width:21824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oL8MA&#10;AADbAAAADwAAAGRycy9kb3ducmV2LnhtbERPS2vCQBC+C/0PyxR6Ed20YGvSbERaNd6Kj0tvQ3bc&#10;hGZnQ3bV9N93C4K3+fieky8G24oL9b5xrOB5moAgrpxu2Cg4HtaTOQgfkDW2jknBL3lYFA+jHDPt&#10;rryjyz4YEUPYZ6igDqHLpPRVTRb91HXEkTu53mKIsDdS93iN4baVL0nyKi02HBtq7Oijpupnf7YK&#10;3j6XY/r6dqewSjdpaXblJjWlUk+Pw/IdRKAh3MU391bH+TP4/yUeI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zoL8MAAADbAAAADwAAAAAAAAAAAAAAAACYAgAAZHJzL2Rv&#10;d25yZXYueG1sUEsFBgAAAAAEAAQA9QAAAIgDAAAAAA==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b/>
                            <w:bCs/>
                            <w:color w:val="1F2A37"/>
                            <w:kern w:val="24"/>
                            <w:sz w:val="22"/>
                            <w:szCs w:val="22"/>
                          </w:rPr>
                          <w:t>Reference Documents</w:t>
                        </w:r>
                      </w:p>
                    </w:txbxContent>
                  </v:textbox>
                </v:rect>
                <v:rect id="Shape 14" o:spid="_x0000_s1037" style="position:absolute;left:24098;top:9525;width:57193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9kKMYA&#10;AADbAAAADwAAAGRycy9kb3ducmV2LnhtbESPT2vCQBDF7wW/wzIFb3XTP4hNXUVKiyJetB70Ns1O&#10;k9DsbJodY+yndwXB2wzv/d68GU87V6mWmlB6NvA4SEARZ96WnBvYfn0+jEAFQbZYeSYDJwownfTu&#10;xphaf+Q1tRvJVQzhkKKBQqROtQ5ZQQ7DwNfEUfvxjUOJa5Nr2+AxhrtKPyXJUDssOV4osKb3grLf&#10;zcHFGs/zfbtciXy8JN/ZabnF/9fdnzH9+272Bkqok5v5Si9s5IZw+SUOoC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09kKMYAAADbAAAADwAAAAAAAAAAAAAAAACYAgAAZHJz&#10;L2Rvd25yZXYueG1sUEsFBgAAAAAEAAQA9QAAAIsDAAAAAA==&#10;" strokecolor="#dce0e6" strokeweight="1pt"/>
                <v:rect id="Text 15" o:spid="_x0000_s1038" style="position:absolute;left:25431;top:9525;width:54407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LTw8EA&#10;AADbAAAADwAAAGRycy9kb3ducmV2LnhtbERPPW/CMBDdkfofrKvEgsApQ2kCBqEWCBuCsrCd4sOJ&#10;Gp+j2ED49zUSEts9vc+bLTpbiyu1vnKs4GOUgCAunK7YKDj+rodfIHxA1lg7JgV38rCYv/VmmGl3&#10;4z1dD8GIGMI+QwVlCE0mpS9KsuhHriGO3Nm1FkOErZG6xVsMt7UcJ8mntFhxbCixoe+Sir/DxSqY&#10;/CwHtDu5c1ilmzQ3+3yTmlyp/nu3nIII1IWX+One6jh/Ao9f4gF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i08PBAAAA2wAAAA8AAAAAAAAAAAAAAAAAmAIAAGRycy9kb3du&#10;cmV2LnhtbFBLBQYAAAAABAAEAPUAAACGAwAAAAA=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>Requirement Specification (</w:t>
                        </w:r>
                        <w:r>
                          <w:rPr>
                            <w:rFonts w:ascii="SimSun" w:eastAsia="SimSun" w:hAnsi="SimSun" w:cs="SimSun" w:hint="eastAsia"/>
                            <w:color w:val="1F2A37"/>
                            <w:kern w:val="24"/>
                            <w:sz w:val="22"/>
                            <w:szCs w:val="22"/>
                          </w:rPr>
                          <w:t>要件定義書</w:t>
                        </w: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 xml:space="preserve"> v4.00), Basic Design, Detail Design</w:t>
                        </w:r>
                      </w:p>
                    </w:txbxContent>
                  </v:textbox>
                </v:rect>
                <v:rect id="Shape 16" o:spid="_x0000_s1039" style="position:absolute;top:14287;width:23774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ddl8YA&#10;AADbAAAADwAAAGRycy9kb3ducmV2LnhtbESPQWvCQBCF7wX/wzKCt7qp1lbSbEQEiQepaIVeh+w0&#10;Cc3Ohuwa03/fORR6m+G9ee+bbDO6Vg3Uh8azgad5Aoq49LbhysD1Y/+4BhUissXWMxn4oQCbfPKQ&#10;YWr9nc80XGKlJIRDigbqGLtU61DW5DDMfUcs2pfvHUZZ+0rbHu8S7lq9SJIX7bBhaaixo11N5ffl&#10;5gzsj8fb82q5el8ePtv1aSiK62tXGDObjts3UJHG+G/+uz5YwRdY+UUG0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ddl8YAAADbAAAADwAAAAAAAAAAAAAAAACYAgAAZHJz&#10;L2Rvd25yZXYueG1sUEsFBgAAAAAEAAQA9QAAAIsDAAAAAA==&#10;" fillcolor="#f4f5f7" strokecolor="#dce0e6" strokeweight="1pt"/>
                <v:rect id="Text 17" o:spid="_x0000_s1040" style="position:absolute;left:1333;top:14287;width:21824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HiKsIA&#10;AADb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BSuv8QD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8eIqwgAAANsAAAAPAAAAAAAAAAAAAAAAAJgCAABkcnMvZG93&#10;bnJldi54bWxQSwUGAAAAAAQABAD1AAAAhwMAAAAA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b/>
                            <w:bCs/>
                            <w:color w:val="1F2A37"/>
                            <w:kern w:val="24"/>
                            <w:sz w:val="22"/>
                            <w:szCs w:val="22"/>
                          </w:rPr>
                          <w:t>Test Cases Created</w:t>
                        </w:r>
                      </w:p>
                    </w:txbxContent>
                  </v:textbox>
                </v:rect>
                <v:rect id="Shape 18" o:spid="_x0000_s1041" style="position:absolute;left:24098;top:14287;width:57193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aTesUA&#10;AADbAAAADwAAAGRycy9kb3ducmV2LnhtbESPwU7CQBCG7ya+w2ZMuMlWJEYrCzFGAyFcRA56G7tj&#10;29idrd2hFJ6eOZh4nPzzf/PNbDGExvTUpTqyg5txBoa4iL7m0sHu/fX6HkwSZI9NZHJwpASL+eXF&#10;DHMfD/xG/VZKoxBOOTqoRNrc2lRUFDCNY0us2XfsAoqOXWl9hweFh8ZOsuzOBqxZL1TY0nNFxc92&#10;H1TjdvnZrzciL9Psqziud3h6+Ph1bnQ1PD2CERrkf/mvvfIOJmqvvygA7Pw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hpN6xQAAANsAAAAPAAAAAAAAAAAAAAAAAJgCAABkcnMv&#10;ZG93bnJldi54bWxQSwUGAAAAAAQABAD1AAAAigMAAAAA&#10;" strokecolor="#dce0e6" strokeweight="1pt"/>
                <v:rect id="Text 19" o:spid="_x0000_s1042" style="position:absolute;left:25431;top:14287;width:54407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skkcUA&#10;AADbAAAADwAAAGRycy9kb3ducmV2LnhtbESPzW7CMBCE75V4B2uReqnAgQNtQgxC0JLeKn4u3Fbx&#10;xomI11HsQnj7ulKlHkcz840mXw+2FTfqfeNYwWyagCAunW7YKDifPiZvIHxA1tg6JgUP8rBejZ5y&#10;zLS784Fux2BEhLDPUEEdQpdJ6cuaLPqp64ijV7neYoiyN1L3eI9w28p5kiykxYbjQo0dbWsqr8dv&#10;q+B1t3mhr4urwnu6TwtzKPapKZR6Hg+bJYhAQ/gP/7U/tYL5DH6/xB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6ySRxQAAANsAAAAPAAAAAAAAAAAAAAAAAJgCAABkcnMv&#10;ZG93bnJldi54bWxQSwUGAAAAAAQABAD1AAAAigMAAAAA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>18 (</w:t>
                        </w:r>
                        <w:proofErr w:type="spellStart"/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 xml:space="preserve">-based engine — see </w:t>
                        </w:r>
                        <w:r>
                          <w:rPr>
                            <w:rFonts w:ascii="Cambria Math" w:eastAsia="Yu Gothic" w:hAnsi="Cambria Math" w:cs="Cambria Math"/>
                            <w:color w:val="1F2A37"/>
                            <w:kern w:val="24"/>
                            <w:sz w:val="22"/>
                            <w:szCs w:val="22"/>
                          </w:rPr>
                          <w:t>②</w:t>
                        </w: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 xml:space="preserve"> for engine selection rationale)</w:t>
                        </w:r>
                      </w:p>
                    </w:txbxContent>
                  </v:textbox>
                </v:rect>
                <v:rect id="Shape 20" o:spid="_x0000_s1043" style="position:absolute;top:19050;width:23774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gwMUA&#10;AADbAAAADwAAAGRycy9kb3ducmV2LnhtbESPQWvCQBSE70L/w/IKvemmibYSXUMphHgQS63Q6yP7&#10;TEKzb0N2E9N/7xYKHoeZ+YbZZpNpxUi9aywreF5EIIhLqxuuFJy/8vkahPPIGlvLpOCXHGS7h9kW&#10;U22v/EnjyVciQNilqKD2vkuldGVNBt3CdsTBu9jeoA+yr6Tu8RrgppVxFL1Igw2HhRo7eq+p/DkN&#10;RkF+OAzLVbI6Jvvvdv0xFsX5tSuUenqc3jYgPE3+Hv5v77WCOIa/L+EHyN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g6DAxQAAANsAAAAPAAAAAAAAAAAAAAAAAJgCAABkcnMv&#10;ZG93bnJldi54bWxQSwUGAAAAAAQABAD1AAAAigMAAAAA&#10;" fillcolor="#f4f5f7" strokecolor="#dce0e6" strokeweight="1pt"/>
                <v:rect id="Text 21" o:spid="_x0000_s1044" style="position:absolute;left:1333;top:19050;width:21824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UffcUA&#10;AADbAAAADwAAAGRycy9kb3ducmV2LnhtbESPT2vCQBTE74V+h+UVvIhuqtA2qatIrUlvxT8Xb4/s&#10;cxOafRuyWxO/vVsQehxm5jfMYjXYRlyo87VjBc/TBARx6XTNRsHxsJ28gfABWWPjmBRcycNq+fiw&#10;wEy7nnd02QcjIoR9hgqqENpMSl9WZNFPXUscvbPrLIYoOyN1h32E20bOkuRFWqw5LlTY0kdF5c/+&#10;1yp43azH9H1y5/CZ5mlhdkWemkKp0dOwfgcRaAj/4Xv7SyuYzeHvS/wB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R99xQAAANsAAAAPAAAAAAAAAAAAAAAAAJgCAABkcnMv&#10;ZG93bnJldi54bWxQSwUGAAAAAAQABAD1AAAAigMAAAAA&#10;" filled="f" stroked="f">
                  <v:textbox inset="0,0,0,0">
                    <w:txbxContent>
                      <w:p w:rsidR="006D68C9" w:rsidRP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Yu Gothic" w:eastAsia="Yu Gothic" w:hAnsi="Yu Gothic" w:cs="Yu Gothic"/>
                            <w:b/>
                            <w:bCs/>
                            <w:color w:val="1F2A37"/>
                            <w:kern w:val="24"/>
                            <w:sz w:val="22"/>
                            <w:szCs w:val="22"/>
                          </w:rPr>
                          <w:t>Execution Period</w:t>
                        </w:r>
                      </w:p>
                    </w:txbxContent>
                  </v:textbox>
                </v:rect>
                <v:rect id="Shape 22" o:spid="_x0000_s1045" style="position:absolute;left:24098;top:19050;width:57193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2VecYA&#10;AADbAAAADwAAAGRycy9kb3ducmV2LnhtbESPQU/CQBCF7yb8h82QeLNbkRAtLMQYjYZ4ATnIbegO&#10;bWN3tnbHUvj1rAkJx5c373vzZove1aqjNlSeDdwnKSji3NuKCwObr7e7R1BBkC3WnsnAkQIs5oOb&#10;GWbWH3hF3VoKFSEcMjRQijSZ1iEvyWFIfEMcvb1vHUqUbaFti4cId7UepelEO6w4NpTY0EtJ+c/6&#10;z8U3Ht633fJT5HWc7vLjcoOnp+9fY26H/fMUlFAv1+NL+sMaGI3hf0sEgJ6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2VecYAAADbAAAADwAAAAAAAAAAAAAAAACYAgAAZHJz&#10;L2Rvd25yZXYueG1sUEsFBgAAAAAEAAQA9QAAAIsDAAAAAA==&#10;" strokecolor="#dce0e6" strokeweight="1pt"/>
                <v:rect id="Text 23" o:spid="_x0000_s1046" style="position:absolute;left:25431;top:19050;width:54407;height:4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AiksUA&#10;AADb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eHvS/wB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0CKSxQAAANsAAAAPAAAAAAAAAAAAAAAAAJgCAABkcnMv&#10;ZG93bnJldi54bWxQSwUGAAAAAAQABAD1AAAAigMAAAAA&#10;" filled="f" stroked="f">
                  <v:textbox inset="0,0,0,0">
                    <w:txbxContent>
                      <w:p w:rsidR="006D68C9" w:rsidRDefault="006D68C9" w:rsidP="006D68C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Yu Gothic" w:eastAsia="Yu Gothic" w:hAnsi="Yu Gothic" w:cs="Yu Gothic"/>
                            <w:color w:val="1F2A37"/>
                            <w:kern w:val="24"/>
                            <w:sz w:val="22"/>
                            <w:szCs w:val="22"/>
                          </w:rPr>
                          <w:t>2026/7/3 – 2026/7/6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D34D8D" w:rsidRDefault="00D34D8D" w:rsidP="006D68C9">
      <w:pPr>
        <w:rPr>
          <w:rFonts w:cs="Arial" w:hint="eastAsia"/>
          <w:sz w:val="25"/>
          <w:szCs w:val="25"/>
        </w:rPr>
      </w:pPr>
    </w:p>
    <w:p w:rsidR="00D34D8D" w:rsidRDefault="00D34D8D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keepNext/>
        <w:spacing w:before="360" w:after="160"/>
        <w:rPr>
          <w:rFonts w:cs="Arial" w:hint="eastAsia"/>
          <w:sz w:val="25"/>
          <w:szCs w:val="25"/>
        </w:rPr>
      </w:pPr>
    </w:p>
    <w:p w:rsidR="006D68C9" w:rsidRDefault="006D68C9" w:rsidP="006D68C9">
      <w:pPr>
        <w:keepNext/>
        <w:spacing w:before="360" w:after="160"/>
      </w:pPr>
      <w:r>
        <w:rPr>
          <w:b/>
          <w:color w:val="1B365D"/>
          <w:sz w:val="30"/>
        </w:rPr>
        <w:t>2. Deliverable 1: Executed Test Cases (Integration Phase)</w:t>
      </w:r>
    </w:p>
    <w:p w:rsidR="006D68C9" w:rsidRDefault="006D68C9" w:rsidP="006D68C9">
      <w:r>
        <w:t>During the trial period, DAT conducted AI-assisted test case generation and verification on representative core business modules, specifically focusing on critical authentication and business processing functions (e.g., Target Functionality: LOGIN-001, NISA/Non-Taxable Account Processing, and Transaction Processing).</w:t>
      </w:r>
    </w:p>
    <w:p w:rsidR="006D68C9" w:rsidRDefault="006D68C9" w:rsidP="006D68C9">
      <w:pPr>
        <w:keepNext/>
        <w:spacing w:before="280"/>
      </w:pPr>
      <w:r>
        <w:rPr>
          <w:b/>
          <w:color w:val="4A607A"/>
          <w:sz w:val="25"/>
        </w:rPr>
        <w:t>2.1 Test Suite Breakdown &amp; Categorization</w:t>
      </w:r>
    </w:p>
    <w:p w:rsidR="006D68C9" w:rsidRDefault="006D68C9" w:rsidP="006D68C9">
      <w:r>
        <w:t xml:space="preserve">A total of 18 highly structured, execution-ready test cases (using </w:t>
      </w:r>
      <w:proofErr w:type="spellStart"/>
      <w:r>
        <w:t>OpenAI</w:t>
      </w:r>
      <w:proofErr w:type="spellEnd"/>
      <w:r>
        <w:t xml:space="preserve"> GPT-4 Smart QA engine) were generated, executed, and validated by DAT. Unlike generic tool outputs, these cases contain explicit input data, precise preconditions, step-by-step procedures, and clear expected results.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9"/>
              </w:rPr>
              <w:t>Test Focus / ID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9"/>
              </w:rPr>
              <w:t>Input Data &amp; Conditions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9"/>
              </w:rPr>
              <w:t>Verification Scope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Positive System Flow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TC001-TC004</w:t>
            </w:r>
            <w:r>
              <w:rPr>
                <w:sz w:val="18"/>
              </w:rPr>
              <w:br/>
              <w:t xml:space="preserve">(Normal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&amp; Menu Navigation)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Valid User ID &amp; Password (1~20 chars, alphanumeric)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Successful authentication, session establishment, redirect to Menu Screen (Screen Transition Flow)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Requirement Specs &amp; Detail Design §1-4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Input Validation &amp; Boundary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TC005-TC009</w:t>
            </w:r>
            <w:r>
              <w:rPr>
                <w:sz w:val="18"/>
              </w:rPr>
              <w:br/>
              <w:t>(User ID / Password Boundaries)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ID Length: 1, 20 (Valid), 21 (Error)</w:t>
            </w:r>
            <w:r>
              <w:rPr>
                <w:sz w:val="18"/>
              </w:rPr>
              <w:br/>
              <w:t>Pass Length: 7 (Error), 8, 20 (Valid), 21 (Error)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Exact field-level error messages displayed; input blocked at 21st char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Basic Design Screen Item List &amp; Boundary Rules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Negative &amp; Exception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TC010-TC014</w:t>
            </w:r>
            <w:r>
              <w:rPr>
                <w:sz w:val="18"/>
              </w:rPr>
              <w:br/>
              <w:t>(Invalid Inputs, Full-width, Non-existent User)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Full-width Japanese text, special symbols, invalid user credentials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Specific authentication failure error messages without exposing system internal state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Error Message List &amp; Exception Handling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Business Rule / Security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TC015-TC018</w:t>
            </w:r>
            <w:r>
              <w:rPr>
                <w:sz w:val="18"/>
              </w:rPr>
              <w:br/>
              <w:t>(Account Lock &amp; System Errors)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5 consecutive failed attempts; User Object NULL state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4th attempt: Non-locked; 5th attempt: Account Locked + Error Message; System Error E9999 redirected to common error screen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Business Rules (5-attempt lock rule) &amp; System Error Policy</w:t>
            </w:r>
          </w:p>
        </w:tc>
      </w:tr>
    </w:tbl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keepNext/>
        <w:spacing w:before="360" w:after="160"/>
      </w:pPr>
      <w:r>
        <w:rPr>
          <w:b/>
          <w:color w:val="1B365D"/>
          <w:sz w:val="30"/>
        </w:rPr>
        <w:lastRenderedPageBreak/>
        <w:t>3. Deliverable 2: Test Case Sufficiency &amp; Verification Methodology</w:t>
      </w:r>
    </w:p>
    <w:p w:rsidR="006D68C9" w:rsidRDefault="006D68C9" w:rsidP="006D68C9">
      <w:r>
        <w:t>As highlighted in the Customer's feedback, evaluating test sufficiency solely based on design specification coverage percentage (</w:t>
      </w:r>
      <w:r>
        <w:rPr>
          <w:rFonts w:hint="eastAsia"/>
        </w:rPr>
        <w:t>設計書との比較に基づくカバレッジ数値</w:t>
      </w:r>
      <w:r>
        <w:t>) is fundamentally insufficient for Integration Testing. Integration Testing requires verifying whether the system satisfies high-level functional overviews and design policies in the Requirement Definition Document (</w:t>
      </w:r>
      <w:r>
        <w:rPr>
          <w:rFonts w:hint="eastAsia"/>
        </w:rPr>
        <w:t>要件定義書</w:t>
      </w:r>
      <w:r>
        <w:t>), as well as detecting unstated/implicit perspectives (</w:t>
      </w:r>
      <w:r>
        <w:rPr>
          <w:rFonts w:hint="eastAsia"/>
        </w:rPr>
        <w:t>記載されていない観点</w:t>
      </w:r>
      <w:r>
        <w:t>).</w:t>
      </w:r>
    </w:p>
    <w:p w:rsidR="006D68C9" w:rsidRDefault="006D68C9" w:rsidP="006D68C9">
      <w:pPr>
        <w:keepNext/>
        <w:spacing w:before="280"/>
      </w:pPr>
      <w:r>
        <w:rPr>
          <w:b/>
          <w:color w:val="4A607A"/>
          <w:sz w:val="25"/>
        </w:rPr>
        <w:t>3.1 Multi-Layered Sufficiency Verification Framework</w:t>
      </w:r>
    </w:p>
    <w:p w:rsidR="006D68C9" w:rsidRDefault="006D68C9" w:rsidP="006D68C9">
      <w:r>
        <w:t>DAT has established a 3-tier verification methodology to prove the absolute adequacy and completeness of our generated test cases: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D68C9" w:rsidTr="006D68C9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4A607A"/>
            <w:hideMark/>
          </w:tcPr>
          <w:p w:rsidR="006D68C9" w:rsidRDefault="006D68C9">
            <w:pPr>
              <w:spacing w:after="12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</w:rPr>
              <w:t>Verification Layer</w:t>
            </w:r>
          </w:p>
        </w:tc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4A607A"/>
            <w:hideMark/>
          </w:tcPr>
          <w:p w:rsidR="006D68C9" w:rsidRDefault="006D68C9">
            <w:pPr>
              <w:spacing w:after="12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</w:rPr>
              <w:t>Focus Area &amp; Validation Method</w:t>
            </w:r>
          </w:p>
        </w:tc>
      </w:tr>
      <w:tr w:rsidR="006D68C9" w:rsidTr="006D68C9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9"/>
              </w:rPr>
              <w:t>Layer 1: Requirement Specification Conformance</w:t>
            </w:r>
            <w:r>
              <w:rPr>
                <w:b/>
                <w:color w:val="1B365D"/>
                <w:sz w:val="19"/>
              </w:rPr>
              <w:br/>
              <w:t>(</w:t>
            </w:r>
            <w:r>
              <w:rPr>
                <w:rFonts w:hint="eastAsia"/>
                <w:b/>
                <w:color w:val="1B365D"/>
                <w:sz w:val="19"/>
              </w:rPr>
              <w:t>要件定義書・機能概要・設計方針適合性</w:t>
            </w:r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9"/>
              </w:rPr>
              <w:t>Verifies that high-level functional objectives, overall business logic, screen flow policies, and error handling philosophies stated in the Requirement Specification (</w:t>
            </w:r>
            <w:r>
              <w:rPr>
                <w:rFonts w:hint="eastAsia"/>
                <w:sz w:val="19"/>
              </w:rPr>
              <w:t>要件定義書</w:t>
            </w:r>
            <w:r>
              <w:rPr>
                <w:sz w:val="19"/>
              </w:rPr>
              <w:t xml:space="preserve"> v4.00) are fully satisfied. Ensures integration integrity across multi-step processes.</w:t>
            </w:r>
          </w:p>
        </w:tc>
      </w:tr>
      <w:tr w:rsidR="006D68C9" w:rsidTr="006D68C9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9"/>
              </w:rPr>
              <w:t>Layer 2: Unstated / Implicit Perspective Detection</w:t>
            </w:r>
            <w:r>
              <w:rPr>
                <w:b/>
                <w:color w:val="1B365D"/>
                <w:sz w:val="19"/>
              </w:rPr>
              <w:br/>
              <w:t>(</w:t>
            </w:r>
            <w:r>
              <w:rPr>
                <w:rFonts w:hint="eastAsia"/>
                <w:b/>
                <w:color w:val="1B365D"/>
                <w:sz w:val="19"/>
              </w:rPr>
              <w:t>記載されていない観点の検出・検証</w:t>
            </w:r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9"/>
              </w:rPr>
              <w:t>Extracts implicit business constraints, exception handling, edge-case conditions, security rules (e.g., consecutive login failure lockouts), and boundary combinations that were NOT explicitly detailed in basic/detail design docs but are essential for robust business operations.</w:t>
            </w:r>
          </w:p>
        </w:tc>
      </w:tr>
      <w:tr w:rsidR="006D68C9" w:rsidTr="006D68C9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9"/>
              </w:rPr>
              <w:t>Layer 3: Detailed Design Item Traceability</w:t>
            </w:r>
            <w:r>
              <w:rPr>
                <w:b/>
                <w:color w:val="1B365D"/>
                <w:sz w:val="19"/>
              </w:rPr>
              <w:br/>
              <w:t>(</w:t>
            </w:r>
            <w:r>
              <w:rPr>
                <w:rFonts w:hint="eastAsia"/>
                <w:b/>
                <w:color w:val="1B365D"/>
                <w:sz w:val="19"/>
              </w:rPr>
              <w:t>設計書詳細項目トレーサビリティ</w:t>
            </w:r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9"/>
              </w:rPr>
              <w:t>Validates exact parameter lengths, NULL checks, field validation rules, DB update flags, and specific error codes across 21 rigorous design checklist items.</w:t>
            </w:r>
          </w:p>
        </w:tc>
      </w:tr>
    </w:tbl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keepNext/>
        <w:spacing w:before="280"/>
      </w:pPr>
      <w:r>
        <w:rPr>
          <w:b/>
          <w:color w:val="4A607A"/>
          <w:sz w:val="25"/>
        </w:rPr>
        <w:lastRenderedPageBreak/>
        <w:t>3.2 Proof of Implicit Perspective Detection (</w:t>
      </w:r>
      <w:r>
        <w:rPr>
          <w:rFonts w:hint="eastAsia"/>
          <w:b/>
          <w:color w:val="4A607A"/>
          <w:sz w:val="25"/>
        </w:rPr>
        <w:t>未記載観点</w:t>
      </w:r>
      <w:r>
        <w:rPr>
          <w:b/>
          <w:color w:val="4A607A"/>
          <w:sz w:val="25"/>
        </w:rPr>
        <w:t>)</w:t>
      </w:r>
    </w:p>
    <w:p w:rsidR="006D68C9" w:rsidRDefault="006D68C9" w:rsidP="006D68C9">
      <w:r>
        <w:t>To satisfy the Customer's specific mandate regarding implicit perspective detection, DAT performed an in-depth audit to verify how AI assists in discovering scenarios overlooked in formal design documents: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Implicit / Unstated Perspective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Status in Design Docs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AI Detection &amp; Case Creation Result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Impact on Quality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 xml:space="preserve">Account Lock Boundary (4th </w:t>
            </w:r>
            <w:proofErr w:type="spellStart"/>
            <w:r>
              <w:rPr>
                <w:sz w:val="18"/>
              </w:rPr>
              <w:t>vs</w:t>
            </w:r>
            <w:proofErr w:type="spellEnd"/>
            <w:r>
              <w:rPr>
                <w:sz w:val="18"/>
              </w:rPr>
              <w:t xml:space="preserve"> 5th attempt)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Stated as '5 attempts' in business rules, but 4th attempt non-lock state was unwritten.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AI successfully synthesized TC015 (4th attempt non-lock) and TC016 (5th attempt lock) to prove exact threshold behavior.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Prevents false-positive lockouts and customer locking bugs.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System Object Null State (user = NULL)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Detail design mentions error code E9999 but omits precondition steps.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AI generated TC019 specifically forcing NULL object state to verify common error screen fallback.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Guarantees graceful degradation during DB / memory failures.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NISA / Non-Taxable Account Application Expiry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Mentioned in high-level requirement overview but missing from detailed test matrix.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AI extracted keyword context (R1954) to create test cases for expired application dates.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Prevents invalid non-taxable account creation.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Full-width / Special Character Injection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Basic design note stated 'alphanumeric', but negative test cases were unlisted.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AI generated TC010 &amp; TC011 for full-width input rejection.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Prevents DB encoding errors and input bypass.</w:t>
            </w:r>
          </w:p>
        </w:tc>
      </w:tr>
    </w:tbl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keepNext/>
        <w:spacing w:before="280"/>
      </w:pPr>
      <w:r>
        <w:rPr>
          <w:b/>
          <w:color w:val="4A607A"/>
          <w:sz w:val="25"/>
        </w:rPr>
        <w:t>3.3 Quantitative Coverage &amp; AI Engine Verification (21-Item Checklist)</w:t>
      </w:r>
    </w:p>
    <w:p w:rsidR="006D68C9" w:rsidRDefault="006D68C9" w:rsidP="006D68C9">
      <w:r>
        <w:t xml:space="preserve">DAT conducted a rigorous evaluation against a 21-item functional checklist derived from the basic and detailed design documents. The comparison between </w:t>
      </w:r>
      <w:proofErr w:type="spellStart"/>
      <w:r>
        <w:t>OpenAI</w:t>
      </w:r>
      <w:proofErr w:type="spellEnd"/>
      <w:r>
        <w:t xml:space="preserve"> (GPT-4 Smart QA) and </w:t>
      </w:r>
      <w:proofErr w:type="spellStart"/>
      <w:r>
        <w:t>GitHub</w:t>
      </w:r>
      <w:proofErr w:type="spellEnd"/>
      <w:r>
        <w:t xml:space="preserve"> Copilot Bridge highlights why model selection and review rigor are critical: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Evaluation Dimension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proofErr w:type="spellStart"/>
            <w:r>
              <w:rPr>
                <w:b/>
                <w:color w:val="FFFFFF"/>
                <w:sz w:val="18"/>
              </w:rPr>
              <w:t>OpenAI</w:t>
            </w:r>
            <w:proofErr w:type="spellEnd"/>
            <w:r>
              <w:rPr>
                <w:b/>
                <w:color w:val="FFFFFF"/>
                <w:sz w:val="18"/>
              </w:rPr>
              <w:t xml:space="preserve"> GPT-4 Smart QA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proofErr w:type="spellStart"/>
            <w:r>
              <w:rPr>
                <w:b/>
                <w:color w:val="FFFFFF"/>
                <w:sz w:val="18"/>
              </w:rPr>
              <w:t>GitHub</w:t>
            </w:r>
            <w:proofErr w:type="spellEnd"/>
            <w:r>
              <w:rPr>
                <w:b/>
                <w:color w:val="FFFFFF"/>
                <w:sz w:val="18"/>
              </w:rPr>
              <w:t xml:space="preserve"> Copilot Bridge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DAT Quality Analysis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Design Spec Real Coverage (21 Items)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93% (18 Fully Covered, 3 Partial)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68% (11 Fully Covered, 5 Partial, 5 Missing)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 xml:space="preserve"> accurately captured complex rules; Copilot missed account locking entirely.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Concrete Input Test Data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Excellent (Specific chars, exact 21-char limits)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Fair (Generic text, lacking boundary values)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 xml:space="preserve"> test cases are directly executable without manual data crafting.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Account Lock &amp; Security Rules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Full Coverage (4 test cases)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0 Cases Generated (Completely Omitted)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Copilot failed to identify critical business lock rules.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Self-Reported vs. Real Coverage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Self-Reported: 85.4% | Real: 93%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Self-Reported: 67.9% | Real: 12% (executable)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Self-reported tool coverage can be misleading; DAT human review is essential.</w:t>
            </w:r>
          </w:p>
        </w:tc>
      </w:tr>
      <w:tr w:rsidR="006D68C9" w:rsidTr="006D68C9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Overall Satisfaction / Score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4.6 / 5.0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3.4 / 5.0</w:t>
            </w:r>
          </w:p>
        </w:tc>
        <w:tc>
          <w:tcPr>
            <w:tcW w:w="234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 xml:space="preserve"> engine provides superior analytical depth for integration testing.</w:t>
            </w:r>
          </w:p>
        </w:tc>
      </w:tr>
    </w:tbl>
    <w:p w:rsidR="006D68C9" w:rsidRDefault="006D68C9" w:rsidP="006D68C9">
      <w:pPr>
        <w:spacing w:after="240"/>
        <w:rPr>
          <w:rFonts w:cstheme="minorBidi"/>
          <w:color w:val="222222"/>
          <w:szCs w:val="22"/>
          <w:lang w:eastAsia="en-US" w:bidi="ar-SA"/>
        </w:rPr>
      </w:pPr>
    </w:p>
    <w:p w:rsidR="006D68C9" w:rsidRDefault="006D68C9" w:rsidP="006D68C9">
      <w:pPr>
        <w:keepNext/>
        <w:spacing w:before="360" w:after="160"/>
      </w:pPr>
      <w:r>
        <w:rPr>
          <w:b/>
          <w:color w:val="1B365D"/>
          <w:sz w:val="30"/>
        </w:rPr>
        <w:lastRenderedPageBreak/>
        <w:t>4. Deliverable 3: DAT Execution Content &amp; High-Precision Review Process</w:t>
      </w:r>
    </w:p>
    <w:p w:rsidR="006D68C9" w:rsidRDefault="006D68C9" w:rsidP="006D68C9">
      <w:r>
        <w:t>To prove that DAT alone can reliably execute the Integration Testing phase without burdening the Customer, DAT has established a standardized 4-Step Autonomous Workflow. This workflow combines AI-driven speed with rigorous human peer review.</w:t>
      </w:r>
    </w:p>
    <w:p w:rsidR="006D68C9" w:rsidRDefault="006D68C9" w:rsidP="006D68C9">
      <w:pPr>
        <w:keepNext/>
        <w:spacing w:before="280"/>
      </w:pPr>
      <w:r>
        <w:rPr>
          <w:b/>
          <w:color w:val="4A607A"/>
          <w:sz w:val="25"/>
        </w:rPr>
        <w:t>4.1 DAT Autonomous Testing Workflow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68C9" w:rsidTr="006D68C9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4A607A"/>
            <w:hideMark/>
          </w:tcPr>
          <w:p w:rsidR="006D68C9" w:rsidRDefault="006D68C9">
            <w:pPr>
              <w:spacing w:after="12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</w:rPr>
              <w:t>Step / Phase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4A607A"/>
            <w:hideMark/>
          </w:tcPr>
          <w:p w:rsidR="006D68C9" w:rsidRDefault="006D68C9">
            <w:pPr>
              <w:spacing w:after="12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</w:rPr>
              <w:t>DAT Autonomous Operational Activity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4A607A"/>
            <w:hideMark/>
          </w:tcPr>
          <w:p w:rsidR="006D68C9" w:rsidRDefault="006D68C9">
            <w:pPr>
              <w:spacing w:after="12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</w:rPr>
              <w:t>Quality Control Output</w:t>
            </w:r>
          </w:p>
        </w:tc>
      </w:tr>
      <w:tr w:rsidR="006D68C9" w:rsidTr="006D68C9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Step 1: Requirement &amp; Spec Ingestion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DAT engineers upload Requirement Specs (</w:t>
            </w:r>
            <w:r>
              <w:rPr>
                <w:rFonts w:hint="eastAsia"/>
                <w:sz w:val="18"/>
              </w:rPr>
              <w:t>要件定義書</w:t>
            </w:r>
            <w:r>
              <w:rPr>
                <w:sz w:val="18"/>
              </w:rPr>
              <w:t>), Basic Design, and Detail Design files. AI extracts core keywords, business rules, and screen flow boundaries.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Extracted Checkpoint List &amp; Requirement Traceability Matrix</w:t>
            </w:r>
          </w:p>
        </w:tc>
      </w:tr>
      <w:tr w:rsidR="006D68C9" w:rsidTr="006D68C9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Step 2: AI Automated Test Generation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AI generates initial integration test suite categorized into Normal, Boundary, Exception, and Business Logic flows with concrete test data.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Draft Integration Test Suite (.</w:t>
            </w:r>
            <w:proofErr w:type="spellStart"/>
            <w:r>
              <w:rPr>
                <w:sz w:val="18"/>
              </w:rPr>
              <w:t>xlsx</w:t>
            </w:r>
            <w:proofErr w:type="spellEnd"/>
            <w:r>
              <w:rPr>
                <w:sz w:val="18"/>
              </w:rPr>
              <w:t xml:space="preserve"> / preview)</w:t>
            </w:r>
          </w:p>
        </w:tc>
      </w:tr>
      <w:tr w:rsidR="006D68C9" w:rsidTr="006D68C9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Step 3: High-Precision DAT Peer Review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DAT QA Lead conducts a 3-layer review: (1) Verifying requirement alignment, (2) Supplementing unstated edge cases, (3) Correcting any syntax/data discrepancies.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Verified &amp; Approved High-Precision Test Suite</w:t>
            </w:r>
          </w:p>
        </w:tc>
      </w:tr>
      <w:tr w:rsidR="006D68C9" w:rsidTr="006D68C9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Step 4: Execution &amp; Evidence Reporting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DAT engineers execute the test cases against the application environment, record actual results, log defects, and deliver final test reports.</w:t>
            </w:r>
          </w:p>
        </w:tc>
        <w:tc>
          <w:tcPr>
            <w:tcW w:w="312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Executed Test Results, Defect Logs, &amp; Verification Report</w:t>
            </w:r>
          </w:p>
        </w:tc>
      </w:tr>
    </w:tbl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spacing w:after="240"/>
        <w:rPr>
          <w:rFonts w:cstheme="minorBidi" w:hint="eastAsia"/>
          <w:color w:val="222222"/>
          <w:szCs w:val="22"/>
          <w:lang w:bidi="ar-SA"/>
        </w:rPr>
      </w:pPr>
    </w:p>
    <w:p w:rsidR="006D68C9" w:rsidRDefault="006D68C9" w:rsidP="006D68C9">
      <w:pPr>
        <w:keepNext/>
        <w:spacing w:before="360" w:after="160"/>
      </w:pPr>
      <w:r>
        <w:rPr>
          <w:b/>
          <w:color w:val="1B365D"/>
          <w:sz w:val="30"/>
        </w:rPr>
        <w:lastRenderedPageBreak/>
        <w:t>5. Deliverable 4: Quantitative Efficiency Gain &amp; Man-Hour Savings</w:t>
      </w:r>
    </w:p>
    <w:p w:rsidR="006D68C9" w:rsidRDefault="006D68C9" w:rsidP="006D68C9">
      <w:r>
        <w:t>A critical mandate of this verification was quantifying the actual labor effort saved by utilizing AI in DAT's testing process. The trial results demonstrate a dramatic reduction in test creation time, enabling DAT engineers to redirect effort toward high-value review and edge-case execution.</w:t>
      </w:r>
    </w:p>
    <w:p w:rsidR="006D68C9" w:rsidRDefault="006D68C9" w:rsidP="006D68C9">
      <w:pPr>
        <w:keepNext/>
        <w:spacing w:before="280"/>
      </w:pPr>
      <w:r>
        <w:rPr>
          <w:b/>
          <w:color w:val="4A607A"/>
          <w:sz w:val="25"/>
        </w:rPr>
        <w:t>5.1 Quantitative Man-Hour Comparison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Process Stage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Traditional Manual Effort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DAT AI-Assisted Effort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Time Saved (Hours)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B365D"/>
            <w:hideMark/>
          </w:tcPr>
          <w:p w:rsidR="006D68C9" w:rsidRDefault="006D68C9">
            <w:pPr>
              <w:spacing w:after="120" w:line="276" w:lineRule="auto"/>
              <w:jc w:val="center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FFFFFF"/>
                <w:sz w:val="18"/>
              </w:rPr>
              <w:t>Efficiency Gain (%)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Requirement Analysis &amp; Keyword Extraction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3.00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0.25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2.75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91.7% Reduction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Test Case Creation &amp; Data Crafting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20.00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0.02 hours (AI generation)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19.98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99.9% Reduction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DAT High-Precision Peer Review &amp; Editing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5.00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1.50 hours (Focused review)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3.50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sz w:val="18"/>
              </w:rPr>
              <w:t>70.0% Reduction</w:t>
            </w:r>
          </w:p>
        </w:tc>
      </w:tr>
      <w:tr w:rsidR="006D68C9" w:rsidTr="006D68C9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Total Test Preparation Phase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28.00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1.77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26.23 hours</w:t>
            </w:r>
          </w:p>
        </w:tc>
        <w:tc>
          <w:tcPr>
            <w:tcW w:w="187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D68C9" w:rsidRDefault="006D68C9">
            <w:pPr>
              <w:spacing w:after="40" w:line="276" w:lineRule="auto"/>
              <w:jc w:val="right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18"/>
              </w:rPr>
              <w:t>93.7% Effort Saved</w:t>
            </w:r>
          </w:p>
        </w:tc>
      </w:tr>
    </w:tbl>
    <w:p w:rsidR="006D68C9" w:rsidRDefault="006D68C9" w:rsidP="006D68C9">
      <w:pPr>
        <w:spacing w:after="240"/>
        <w:rPr>
          <w:rFonts w:cstheme="minorBidi"/>
          <w:color w:val="222222"/>
          <w:szCs w:val="22"/>
          <w:lang w:eastAsia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D68C9" w:rsidTr="006D68C9">
        <w:trPr>
          <w:jc w:val="center"/>
        </w:trPr>
        <w:tc>
          <w:tcPr>
            <w:tcW w:w="9360" w:type="dxa"/>
            <w:tcBorders>
              <w:top w:val="nil"/>
              <w:left w:val="single" w:sz="24" w:space="0" w:color="1B365D"/>
              <w:bottom w:val="nil"/>
              <w:right w:val="nil"/>
            </w:tcBorders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68C9" w:rsidRDefault="006D68C9">
            <w:pPr>
              <w:spacing w:after="40" w:line="276" w:lineRule="auto"/>
              <w:rPr>
                <w:color w:val="222222"/>
                <w:szCs w:val="22"/>
                <w:lang w:eastAsia="en-US" w:bidi="ar-SA"/>
              </w:rPr>
            </w:pPr>
            <w:r>
              <w:rPr>
                <w:b/>
                <w:color w:val="1B365D"/>
                <w:sz w:val="20"/>
              </w:rPr>
              <w:t>■ SUMMARY OF QUANTITATIVE SAVINGS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color w:val="333333"/>
                <w:sz w:val="20"/>
              </w:rPr>
              <w:t>By leveraging AI-assisted test case generation combined with DAT's high-precision review framework, total test design and preparation effort per target module was reduced from 28.0 hours down to 1.77 hours — representing a 93.7% reduction in total man-hours. This enables DAT to execute comprehensive integration testing within much shorter release cycles while eliminating human oversight errors.</w:t>
            </w:r>
          </w:p>
        </w:tc>
      </w:tr>
    </w:tbl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Default="006D68C9" w:rsidP="006D68C9">
      <w:pPr>
        <w:rPr>
          <w:rFonts w:cs="Arial" w:hint="eastAsia"/>
          <w:sz w:val="25"/>
          <w:szCs w:val="25"/>
        </w:rPr>
      </w:pPr>
    </w:p>
    <w:p w:rsidR="006D68C9" w:rsidRPr="006D68C9" w:rsidRDefault="006D68C9" w:rsidP="006D68C9">
      <w:pPr>
        <w:rPr>
          <w:rFonts w:cs="Arial"/>
          <w:sz w:val="25"/>
          <w:szCs w:val="25"/>
        </w:rPr>
      </w:pPr>
    </w:p>
    <w:sectPr w:rsidR="006D68C9" w:rsidRPr="006D68C9">
      <w:headerReference w:type="default" r:id="rId6"/>
      <w:footerReference w:type="default" r:id="rId7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">
    <w:altName w:val="Leelawadee UI Semilight"/>
    <w:panose1 w:val="020B04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4A7" w:rsidRDefault="00D34D8D">
    <w:pPr>
      <w:jc w:val="center"/>
    </w:pPr>
    <w:r>
      <w:rPr>
        <w:rFonts w:cs="Arial"/>
        <w:color w:val="69707D"/>
        <w:sz w:val="16"/>
        <w:szCs w:val="16"/>
      </w:rPr>
      <w:fldChar w:fldCharType="begin"/>
    </w:r>
    <w:r>
      <w:rPr>
        <w:rFonts w:eastAsia="Arial" w:cs="Arial"/>
        <w:color w:val="69707D"/>
        <w:sz w:val="16"/>
        <w:szCs w:val="16"/>
      </w:rPr>
      <w:instrText>PAGE</w:instrText>
    </w:r>
    <w:r>
      <w:rPr>
        <w:rFonts w:cs="Arial"/>
        <w:color w:val="69707D"/>
        <w:sz w:val="16"/>
        <w:szCs w:val="16"/>
      </w:rPr>
      <w:fldChar w:fldCharType="separate"/>
    </w:r>
    <w:r>
      <w:rPr>
        <w:rFonts w:cs="Arial"/>
        <w:noProof/>
        <w:color w:val="69707D"/>
        <w:sz w:val="16"/>
        <w:szCs w:val="16"/>
      </w:rPr>
      <w:t>1</w:t>
    </w:r>
    <w:r>
      <w:rPr>
        <w:rFonts w:cs="Arial"/>
        <w:color w:val="69707D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4A7" w:rsidRDefault="00D34D8D">
    <w:pPr>
      <w:jc w:val="right"/>
    </w:pPr>
    <w:r>
      <w:rPr>
        <w:rFonts w:eastAsia="Arial" w:cs="Arial"/>
        <w:color w:val="69707D"/>
        <w:sz w:val="16"/>
        <w:szCs w:val="16"/>
      </w:rPr>
      <w:t>DAT-AI-TEST-PROP-2026-v1.1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6E2BBE"/>
    <w:multiLevelType w:val="hybridMultilevel"/>
    <w:tmpl w:val="B96606D4"/>
    <w:lvl w:ilvl="0" w:tplc="2CB81F0A">
      <w:start w:val="1"/>
      <w:numFmt w:val="bullet"/>
      <w:lvlText w:val="●"/>
      <w:lvlJc w:val="left"/>
      <w:pPr>
        <w:ind w:left="720" w:hanging="360"/>
      </w:pPr>
    </w:lvl>
    <w:lvl w:ilvl="1" w:tplc="046CDCEE">
      <w:start w:val="1"/>
      <w:numFmt w:val="bullet"/>
      <w:lvlText w:val="○"/>
      <w:lvlJc w:val="left"/>
      <w:pPr>
        <w:ind w:left="1440" w:hanging="360"/>
      </w:pPr>
    </w:lvl>
    <w:lvl w:ilvl="2" w:tplc="3B42C5AA">
      <w:start w:val="1"/>
      <w:numFmt w:val="bullet"/>
      <w:lvlText w:val="■"/>
      <w:lvlJc w:val="left"/>
      <w:pPr>
        <w:ind w:left="2160" w:hanging="360"/>
      </w:pPr>
    </w:lvl>
    <w:lvl w:ilvl="3" w:tplc="B106B5AE">
      <w:start w:val="1"/>
      <w:numFmt w:val="bullet"/>
      <w:lvlText w:val="●"/>
      <w:lvlJc w:val="left"/>
      <w:pPr>
        <w:ind w:left="2880" w:hanging="360"/>
      </w:pPr>
    </w:lvl>
    <w:lvl w:ilvl="4" w:tplc="760C4E3E">
      <w:start w:val="1"/>
      <w:numFmt w:val="bullet"/>
      <w:lvlText w:val="○"/>
      <w:lvlJc w:val="left"/>
      <w:pPr>
        <w:ind w:left="3600" w:hanging="360"/>
      </w:pPr>
    </w:lvl>
    <w:lvl w:ilvl="5" w:tplc="26A02E54">
      <w:start w:val="1"/>
      <w:numFmt w:val="bullet"/>
      <w:lvlText w:val="■"/>
      <w:lvlJc w:val="left"/>
      <w:pPr>
        <w:ind w:left="4320" w:hanging="360"/>
      </w:pPr>
    </w:lvl>
    <w:lvl w:ilvl="6" w:tplc="A6300AA8">
      <w:start w:val="1"/>
      <w:numFmt w:val="bullet"/>
      <w:lvlText w:val="●"/>
      <w:lvlJc w:val="left"/>
      <w:pPr>
        <w:ind w:left="5040" w:hanging="360"/>
      </w:pPr>
    </w:lvl>
    <w:lvl w:ilvl="7" w:tplc="0E10E712">
      <w:start w:val="1"/>
      <w:numFmt w:val="bullet"/>
      <w:lvlText w:val="●"/>
      <w:lvlJc w:val="left"/>
      <w:pPr>
        <w:ind w:left="5760" w:hanging="360"/>
      </w:pPr>
    </w:lvl>
    <w:lvl w:ilvl="8" w:tplc="31F4BF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8C9"/>
    <w:rsid w:val="006D68C9"/>
    <w:rsid w:val="00803C2A"/>
    <w:rsid w:val="00D3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8C9"/>
    <w:pPr>
      <w:spacing w:after="0" w:line="240" w:lineRule="auto"/>
    </w:pPr>
    <w:rPr>
      <w:rFonts w:ascii="Arial" w:hAnsi="Arial" w:cs="Arial Unicode MS"/>
      <w:color w:val="1F2A37"/>
      <w:sz w:val="21"/>
      <w:szCs w:val="21"/>
    </w:rPr>
  </w:style>
  <w:style w:type="paragraph" w:styleId="Heading1">
    <w:name w:val="heading 1"/>
    <w:link w:val="Heading1Char"/>
    <w:qFormat/>
    <w:rsid w:val="006D68C9"/>
    <w:pPr>
      <w:spacing w:before="380" w:after="180" w:line="240" w:lineRule="auto"/>
      <w:outlineLvl w:val="0"/>
    </w:pPr>
    <w:rPr>
      <w:rFonts w:ascii="Arial" w:eastAsia="Arial" w:hAnsi="Arial" w:cs="Arial"/>
      <w:b/>
      <w:bCs/>
      <w:color w:val="0B4C8C"/>
      <w:sz w:val="30"/>
      <w:szCs w:val="30"/>
    </w:rPr>
  </w:style>
  <w:style w:type="paragraph" w:styleId="Heading2">
    <w:name w:val="heading 2"/>
    <w:link w:val="Heading2Char"/>
    <w:qFormat/>
    <w:rsid w:val="006D68C9"/>
    <w:pPr>
      <w:spacing w:before="260" w:after="130" w:line="240" w:lineRule="auto"/>
      <w:outlineLvl w:val="1"/>
    </w:pPr>
    <w:rPr>
      <w:rFonts w:ascii="Arial" w:eastAsia="Arial" w:hAnsi="Arial" w:cs="Arial"/>
      <w:b/>
      <w:bCs/>
      <w:color w:val="1F2A37"/>
      <w:sz w:val="25"/>
      <w:szCs w:val="25"/>
    </w:rPr>
  </w:style>
  <w:style w:type="paragraph" w:styleId="Heading3">
    <w:name w:val="heading 3"/>
    <w:link w:val="Heading3Char"/>
    <w:qFormat/>
    <w:rsid w:val="006D68C9"/>
    <w:pPr>
      <w:spacing w:before="200" w:after="90" w:line="240" w:lineRule="auto"/>
      <w:outlineLvl w:val="2"/>
    </w:pPr>
    <w:rPr>
      <w:rFonts w:ascii="Arial" w:eastAsia="Arial" w:hAnsi="Arial" w:cs="Arial"/>
      <w:b/>
      <w:bCs/>
      <w:color w:val="0B4C8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68C9"/>
    <w:rPr>
      <w:rFonts w:ascii="Arial" w:eastAsia="Arial" w:hAnsi="Arial" w:cs="Arial"/>
      <w:b/>
      <w:bCs/>
      <w:color w:val="0B4C8C"/>
      <w:sz w:val="30"/>
      <w:szCs w:val="30"/>
    </w:rPr>
  </w:style>
  <w:style w:type="character" w:customStyle="1" w:styleId="Heading2Char">
    <w:name w:val="Heading 2 Char"/>
    <w:basedOn w:val="DefaultParagraphFont"/>
    <w:link w:val="Heading2"/>
    <w:rsid w:val="006D68C9"/>
    <w:rPr>
      <w:rFonts w:ascii="Arial" w:eastAsia="Arial" w:hAnsi="Arial" w:cs="Arial"/>
      <w:b/>
      <w:bCs/>
      <w:color w:val="1F2A37"/>
      <w:sz w:val="25"/>
      <w:szCs w:val="25"/>
    </w:rPr>
  </w:style>
  <w:style w:type="character" w:customStyle="1" w:styleId="Heading3Char">
    <w:name w:val="Heading 3 Char"/>
    <w:basedOn w:val="DefaultParagraphFont"/>
    <w:link w:val="Heading3"/>
    <w:rsid w:val="006D68C9"/>
    <w:rPr>
      <w:rFonts w:ascii="Arial" w:eastAsia="Arial" w:hAnsi="Arial" w:cs="Arial"/>
      <w:b/>
      <w:bCs/>
      <w:color w:val="0B4C8C"/>
    </w:rPr>
  </w:style>
  <w:style w:type="paragraph" w:styleId="ListParagraph">
    <w:name w:val="List Paragraph"/>
    <w:qFormat/>
    <w:rsid w:val="006D68C9"/>
    <w:pPr>
      <w:spacing w:after="0" w:line="240" w:lineRule="auto"/>
    </w:pPr>
    <w:rPr>
      <w:rFonts w:ascii="Arial" w:hAnsi="Arial" w:cs="Arial"/>
      <w:color w:val="1F2A37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D68C9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8C9"/>
    <w:pPr>
      <w:spacing w:after="0" w:line="240" w:lineRule="auto"/>
    </w:pPr>
    <w:rPr>
      <w:rFonts w:ascii="Arial" w:hAnsi="Arial" w:cs="Arial Unicode MS"/>
      <w:color w:val="1F2A37"/>
      <w:sz w:val="21"/>
      <w:szCs w:val="21"/>
    </w:rPr>
  </w:style>
  <w:style w:type="paragraph" w:styleId="Heading1">
    <w:name w:val="heading 1"/>
    <w:link w:val="Heading1Char"/>
    <w:qFormat/>
    <w:rsid w:val="006D68C9"/>
    <w:pPr>
      <w:spacing w:before="380" w:after="180" w:line="240" w:lineRule="auto"/>
      <w:outlineLvl w:val="0"/>
    </w:pPr>
    <w:rPr>
      <w:rFonts w:ascii="Arial" w:eastAsia="Arial" w:hAnsi="Arial" w:cs="Arial"/>
      <w:b/>
      <w:bCs/>
      <w:color w:val="0B4C8C"/>
      <w:sz w:val="30"/>
      <w:szCs w:val="30"/>
    </w:rPr>
  </w:style>
  <w:style w:type="paragraph" w:styleId="Heading2">
    <w:name w:val="heading 2"/>
    <w:link w:val="Heading2Char"/>
    <w:qFormat/>
    <w:rsid w:val="006D68C9"/>
    <w:pPr>
      <w:spacing w:before="260" w:after="130" w:line="240" w:lineRule="auto"/>
      <w:outlineLvl w:val="1"/>
    </w:pPr>
    <w:rPr>
      <w:rFonts w:ascii="Arial" w:eastAsia="Arial" w:hAnsi="Arial" w:cs="Arial"/>
      <w:b/>
      <w:bCs/>
      <w:color w:val="1F2A37"/>
      <w:sz w:val="25"/>
      <w:szCs w:val="25"/>
    </w:rPr>
  </w:style>
  <w:style w:type="paragraph" w:styleId="Heading3">
    <w:name w:val="heading 3"/>
    <w:link w:val="Heading3Char"/>
    <w:qFormat/>
    <w:rsid w:val="006D68C9"/>
    <w:pPr>
      <w:spacing w:before="200" w:after="90" w:line="240" w:lineRule="auto"/>
      <w:outlineLvl w:val="2"/>
    </w:pPr>
    <w:rPr>
      <w:rFonts w:ascii="Arial" w:eastAsia="Arial" w:hAnsi="Arial" w:cs="Arial"/>
      <w:b/>
      <w:bCs/>
      <w:color w:val="0B4C8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68C9"/>
    <w:rPr>
      <w:rFonts w:ascii="Arial" w:eastAsia="Arial" w:hAnsi="Arial" w:cs="Arial"/>
      <w:b/>
      <w:bCs/>
      <w:color w:val="0B4C8C"/>
      <w:sz w:val="30"/>
      <w:szCs w:val="30"/>
    </w:rPr>
  </w:style>
  <w:style w:type="character" w:customStyle="1" w:styleId="Heading2Char">
    <w:name w:val="Heading 2 Char"/>
    <w:basedOn w:val="DefaultParagraphFont"/>
    <w:link w:val="Heading2"/>
    <w:rsid w:val="006D68C9"/>
    <w:rPr>
      <w:rFonts w:ascii="Arial" w:eastAsia="Arial" w:hAnsi="Arial" w:cs="Arial"/>
      <w:b/>
      <w:bCs/>
      <w:color w:val="1F2A37"/>
      <w:sz w:val="25"/>
      <w:szCs w:val="25"/>
    </w:rPr>
  </w:style>
  <w:style w:type="character" w:customStyle="1" w:styleId="Heading3Char">
    <w:name w:val="Heading 3 Char"/>
    <w:basedOn w:val="DefaultParagraphFont"/>
    <w:link w:val="Heading3"/>
    <w:rsid w:val="006D68C9"/>
    <w:rPr>
      <w:rFonts w:ascii="Arial" w:eastAsia="Arial" w:hAnsi="Arial" w:cs="Arial"/>
      <w:b/>
      <w:bCs/>
      <w:color w:val="0B4C8C"/>
    </w:rPr>
  </w:style>
  <w:style w:type="paragraph" w:styleId="ListParagraph">
    <w:name w:val="List Paragraph"/>
    <w:qFormat/>
    <w:rsid w:val="006D68C9"/>
    <w:pPr>
      <w:spacing w:after="0" w:line="240" w:lineRule="auto"/>
    </w:pPr>
    <w:rPr>
      <w:rFonts w:ascii="Arial" w:hAnsi="Arial" w:cs="Arial"/>
      <w:color w:val="1F2A37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D68C9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9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</Company>
  <LinksUpToDate>false</LinksUpToDate>
  <CharactersWithSpaces>10005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 Nandar Htwe</dc:creator>
  <cp:lastModifiedBy>Su Nandar Htwe</cp:lastModifiedBy>
  <cp:revision>1</cp:revision>
  <dcterms:created xsi:type="dcterms:W3CDTF">2026-07-21T06:03:00Z</dcterms:created>
  <dcterms:modified xsi:type="dcterms:W3CDTF">2026-07-21T06:23:00Z</dcterms:modified>
</cp:coreProperties>
</file>