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[[work]]</w:t>
      </w:r>
    </w:p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Modeling Assumptions (v0.1)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Project:</w:t>
      </w:r>
      <w:r>
        <w:rPr>
          <w:rFonts w:ascii="Times" w:hAnsi="Times" w:cs="Times"/>
          <w:sz w:val="24"/>
          <w:sz-cs w:val="24"/>
          <w:spacing w:val="0"/>
        </w:rPr>
        <w:t xml:space="preserve"> TTFS UTRGV Cool Schools </w:t>
      </w:r>
      <w:r>
        <w:rPr>
          <w:rFonts w:ascii="Times" w:hAnsi="Times" w:cs="Times"/>
          <w:sz w:val="24"/>
          <w:sz-cs w:val="24"/>
          <w:b/>
          <w:spacing w:val="0"/>
        </w:rPr>
        <w:t xml:space="preserve">Date:</w:t>
      </w:r>
      <w:r>
        <w:rPr>
          <w:rFonts w:ascii="Times" w:hAnsi="Times" w:cs="Times"/>
          <w:sz w:val="24"/>
          <w:sz-cs w:val="24"/>
          <w:spacing w:val="0"/>
        </w:rPr>
        <w:t xml:space="preserve"> June 2026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1. Remote Sensing Baseline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Surface Temperature (LST):</w:t>
      </w:r>
      <w:r>
        <w:rPr>
          <w:rFonts w:ascii="Times" w:hAnsi="Times" w:cs="Times"/>
          <w:sz w:val="24"/>
          <w:sz-cs w:val="24"/>
          <w:spacing w:val="0"/>
        </w:rPr>
        <w:t xml:space="preserve"> Derived from Landsat 8/9 Thermal Infrared Sensor (TIRS) Band 10 data. Assumes emissivity based on NDVI.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Canopy Coverage:</w:t>
      </w:r>
      <w:r>
        <w:rPr>
          <w:rFonts w:ascii="Times" w:hAnsi="Times" w:cs="Times"/>
          <w:sz w:val="24"/>
          <w:sz-cs w:val="24"/>
          <w:spacing w:val="0"/>
        </w:rPr>
        <w:t xml:space="preserve"> Derived using National Agriculture Imagery Program (NAIP) 1m resolution data paired with NDVI thresholding (NDVI &gt; 0.4 indicates canopy).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Albedo:</w:t>
      </w:r>
      <w:r>
        <w:rPr>
          <w:rFonts w:ascii="Times" w:hAnsi="Times" w:cs="Times"/>
          <w:sz w:val="24"/>
          <w:sz-cs w:val="24"/>
          <w:spacing w:val="0"/>
        </w:rPr>
        <w:t xml:space="preserve"> Estimated using Landsat surface reflectance.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2. Heat Reduction Forecast Model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Shade Impact:</w:t>
      </w:r>
      <w:r>
        <w:rPr>
          <w:rFonts w:ascii="Times" w:hAnsi="Times" w:cs="Times"/>
          <w:sz w:val="24"/>
          <w:sz-cs w:val="24"/>
          <w:spacing w:val="0"/>
        </w:rPr>
        <w:t xml:space="preserve"> Every 10% increase in continuous canopy cover over impervious surfaces is modeled to reduce ambient surface temperature by approximately 1.5Â°C to 2.5Â°C during peak summer hours, assuming mature tree size (15-20 years post-planting).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Growth Rate:</w:t>
      </w:r>
      <w:r>
        <w:rPr>
          <w:rFonts w:ascii="Times" w:hAnsi="Times" w:cs="Times"/>
          <w:sz w:val="24"/>
          <w:sz-cs w:val="24"/>
          <w:spacing w:val="0"/>
        </w:rPr>
        <w:t xml:space="preserve"> The model assumes an average canopy growth rate of 1.5 feet in diameter per year for the selected native species.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Evapotranspiration Cooling:</w:t>
      </w:r>
      <w:r>
        <w:rPr>
          <w:rFonts w:ascii="Times" w:hAnsi="Times" w:cs="Times"/>
          <w:sz w:val="24"/>
          <w:sz-cs w:val="24"/>
          <w:spacing w:val="0"/>
        </w:rPr>
        <w:t xml:space="preserve"> Contributes an additional localized cooling effect of up to 1Â°C in areas with dense plantings and adequate soil moisture.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3. Dashboard Ingestion Logic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Uploaded CSV/GeoJSON files are assumed to be in WGS84 coordinate reference system (EPSG:4326).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Measurements lacking timestamps are assigned the ingestion date as a default baseline.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Missing temperature or canopy values are excluded from the aggregate averages to prevent downward skewing.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