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What We Delivered — October 2026 (Month 5)</w:t>
      </w:r>
    </w:p>
    <w:p>
      <w:r>
        <w:rPr>
          <w:b/>
        </w:rPr>
        <w:t xml:space="preserve">Project: </w:t>
      </w:r>
      <w:r>
        <w:t>Texas Cool Schools — Rio Grande Valley (Grant #25065)</w:t>
        <w:br/>
      </w:r>
      <w:r>
        <w:rPr>
          <w:b/>
        </w:rPr>
        <w:t xml:space="preserve">From: </w:t>
      </w:r>
      <w:r>
        <w:t>UTRGV Agroecology Lab (Dr. Engil Pereira &amp; Donald R. Reed III)</w:t>
        <w:br/>
      </w:r>
      <w:r>
        <w:rPr>
          <w:b/>
        </w:rPr>
        <w:t xml:space="preserve">To: </w:t>
      </w:r>
      <w:r>
        <w:t>Texas Trees Foundation (Jorge Rodriguez, Project Liaison; Kristinaoshia Torres, Project Manager)</w:t>
        <w:br/>
      </w:r>
      <w:r>
        <w:rPr>
          <w:b/>
        </w:rPr>
        <w:t xml:space="preserve">Date: </w:t>
      </w:r>
      <w:r>
        <w:t>October 29, 2026</w:t>
        <w:br/>
      </w:r>
      <w:r>
        <w:rPr>
          <w:b/>
        </w:rPr>
        <w:t xml:space="preserve">Total Billed This Month: </w:t>
      </w:r>
      <w:r>
        <w:t>$6,272.00 (Invoice #5)</w:t>
      </w:r>
    </w:p>
    <w:p>
      <w:pPr>
        <w:pStyle w:val="Heading2"/>
      </w:pPr>
      <w:r>
        <w:t>Here is a plain-language summary of what the UTRGV team completed and delivered this month:</w:t>
      </w:r>
    </w:p>
    <w:p>
      <w:pPr>
        <w:pStyle w:val="ListBullet"/>
      </w:pPr>
      <w:r>
        <w:rPr>
          <w:b/>
        </w:rPr>
        <w:t xml:space="preserve">Streamlined Public &amp; Student-Friendly Dashboard v2 (Deliverable C — $3,730.00): </w:t>
      </w:r>
      <w:r>
        <w:t>In direct response to the Texas Trees Foundation v1 design review, we simplified the top navigation bar from 19 tabs down to 8 core public tabs plus 3 interactive student learning labs. Six secondary technical tabs (Site Zoning, Economic/ROI, Trails, Wind, Water, and Soil) were removed from the public navigation while preserving the full 49-page v1 engineering suite on a dedicated Git archive branch (archive/v1-full-suite).</w:t>
      </w:r>
    </w:p>
    <w:p>
      <w:pPr>
        <w:pStyle w:val="ListBullet"/>
      </w:pPr>
      <w:r>
        <w:rPr>
          <w:b/>
        </w:rPr>
        <w:t xml:space="preserve">Consolidated Heat &amp; Shade Tab with Representative Campus Simulations: </w:t>
      </w:r>
      <w:r>
        <w:t>We consolidated Surface Breakdown, the 3D Shade Model, and Temperature under the Albedo &amp; Reflectance page (albedo.html) and built one-click representative campus simulations for J.W. Caceres Discovery Intermediate (Donna ISD) and Ruben Hinojosa Elementary (Mercedes ISD).</w:t>
      </w:r>
    </w:p>
    <w:p>
      <w:pPr>
        <w:pStyle w:val="ListBullet"/>
      </w:pPr>
      <w:r>
        <w:rPr>
          <w:b/>
        </w:rPr>
        <w:t xml:space="preserve">Before Planting → Newly Planted (Year 1) → Grown Trees (10–15 Yr) Impact Reports: </w:t>
      </w:r>
      <w:r>
        <w:t>We added 3-stage comparison reports across all retained modeling pages (Dashboard Overview, Canopy Over Time, Albedo &amp; Reflectance, Impact, and i-Tree Eco Ledger) so stakeholders can compare initial planting against mature 10–15 year tree benefits.</w:t>
      </w:r>
    </w:p>
    <w:p>
      <w:pPr>
        <w:pStyle w:val="ListBullet"/>
      </w:pPr>
      <w:r>
        <w:rPr>
          <w:b/>
        </w:rPr>
        <w:t xml:space="preserve">Realistic Schoolyard Soil Calibration in the Backend: </w:t>
      </w:r>
      <w:r>
        <w:t>We calibrated our 10–15 year tree canopy and ecosystem projections to automatically account for compacted semi-urban schoolyard soils in the backend (projecting realistic 10–15 year canopy of ~22.8% for Donna ISD and ~21.6% for Mercedes ISD) while hiding technical soil mechanics formulas from students and the general public.</w:t>
      </w:r>
    </w:p>
    <w:p>
      <w:pPr>
        <w:pStyle w:val="ListBullet"/>
      </w:pPr>
      <w:r>
        <w:rPr>
          <w:b/>
        </w:rPr>
        <w:t xml:space="preserve">Live District Upload Feeds &amp; Interactive Student Labs: </w:t>
      </w:r>
      <w:r>
        <w:t>We preserved Biodiversity and the Tree Sponsorship Roster as live district-updated modules (exempt from static Pre/Post snapshots) and linked three interactive elementary/middle school labs in the top navigation bar: the Birding &amp; Tree Bulletin Board (Parts of a Cowboy &amp; Chachalaca &amp; Friends), the Tree Stewardship Journal, and the IR Surface Temp Lab.</w:t>
      </w:r>
    </w:p>
    <w:p>
      <w:pPr>
        <w:pStyle w:val="ListBullet"/>
      </w:pPr>
      <w:r>
        <w:rPr>
          <w:b/>
        </w:rPr>
        <w:t xml:space="preserve">2027 Reporting Workplan &amp; Final Baseline Atlas Lock (Deliverable A — $2,542.00): </w:t>
      </w:r>
      <w:r>
        <w:t>We prepared the formal 2027 Reporting Workplan defining quarterly review cycles, UTRGV vs. TTFS vs. ISD roles, and the Spring/Fall 2027 teacher and facilities training schedule, and completed the October 31 final baseline lock for the Pre-Planting Environmental Atlas across all 8 campuses.</w:t>
      </w:r>
    </w:p>
    <w:p>
      <w:pPr>
        <w:pStyle w:val="Heading2"/>
      </w:pPr>
      <w:r>
        <w:t>Summary of October 2026 Deliverables &amp; Links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Milestone ID</w:t>
            </w:r>
          </w:p>
        </w:tc>
        <w:tc>
          <w:tcPr>
            <w:tcW w:type="dxa" w:w="2160"/>
          </w:tcPr>
          <w:p>
            <w:r>
              <w:t>Contract Deliverable</w:t>
            </w:r>
          </w:p>
        </w:tc>
        <w:tc>
          <w:tcPr>
            <w:tcW w:type="dxa" w:w="2160"/>
          </w:tcPr>
          <w:p>
            <w:r>
              <w:t>Key Artifacts / Live Links</w:t>
            </w:r>
          </w:p>
        </w:tc>
        <w:tc>
          <w:tcPr>
            <w:tcW w:type="dxa" w:w="2160"/>
          </w:tcPr>
          <w:p>
            <w:r>
              <w:t>Amount</w:t>
            </w:r>
          </w:p>
        </w:tc>
      </w:tr>
      <w:tr>
        <w:tc>
          <w:tcPr>
            <w:tcW w:type="dxa" w:w="2160"/>
          </w:tcPr>
          <w:p>
            <w:r>
              <w:t>oct-26-1</w:t>
              <w:br/>
              <w:t>(Deliverable C)</w:t>
            </w:r>
          </w:p>
        </w:tc>
        <w:tc>
          <w:tcPr>
            <w:tcW w:type="dxa" w:w="2160"/>
          </w:tcPr>
          <w:p>
            <w:r>
              <w:t>Dashboard v2 near-final; ingestion &amp; styling docs updated</w:t>
            </w:r>
          </w:p>
        </w:tc>
        <w:tc>
          <w:tcPr>
            <w:tcW w:type="dxa" w:w="2160"/>
          </w:tcPr>
          <w:p>
            <w:r>
              <w:t>Streamlined v2 Dashboard (sunaxle.github.io/ttfs-cool-schools-dashboard/)</w:t>
              <w:br/>
              <w:t>Month 5 Progress Report (docs/Month_5_Progress_Report.md)</w:t>
            </w:r>
          </w:p>
        </w:tc>
        <w:tc>
          <w:tcPr>
            <w:tcW w:type="dxa" w:w="2160"/>
          </w:tcPr>
          <w:p>
            <w:r>
              <w:t>$3,730.00</w:t>
            </w:r>
          </w:p>
        </w:tc>
      </w:tr>
      <w:tr>
        <w:tc>
          <w:tcPr>
            <w:tcW w:type="dxa" w:w="2160"/>
          </w:tcPr>
          <w:p>
            <w:r>
              <w:t>oct-26-2</w:t>
              <w:br/>
              <w:t>(Deliverable A)</w:t>
            </w:r>
          </w:p>
        </w:tc>
        <w:tc>
          <w:tcPr>
            <w:tcW w:type="dxa" w:w="2160"/>
          </w:tcPr>
          <w:p>
            <w:r>
              <w:t>Prep 2027 reporting workplan (review cycles, roles) &amp; Baseline Lock</w:t>
            </w:r>
          </w:p>
        </w:tc>
        <w:tc>
          <w:tcPr>
            <w:tcW w:type="dxa" w:w="2160"/>
          </w:tcPr>
          <w:p>
            <w:r>
              <w:t>2027 Reporting Workplan (docs/2027_Reporting_Workplan.md)</w:t>
            </w:r>
          </w:p>
        </w:tc>
        <w:tc>
          <w:tcPr>
            <w:tcW w:type="dxa" w:w="2160"/>
          </w:tcPr>
          <w:p>
            <w:r>
              <w:t>$2,542.00</w:t>
            </w:r>
          </w:p>
        </w:tc>
      </w:tr>
      <w:tr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>
            <w:r>
              <w:t>October 2026 (Month 5 — Invoice #5)</w:t>
            </w:r>
          </w:p>
        </w:tc>
        <w:tc>
          <w:tcPr>
            <w:tcW w:type="dxa" w:w="2160"/>
          </w:tcPr>
          <w:p>
            <w:r>
              <w:t>Cumulative Billed: $97,335.00 / $157,625.00 (61.8%)</w:t>
            </w:r>
          </w:p>
        </w:tc>
        <w:tc>
          <w:tcPr>
            <w:tcW w:type="dxa" w:w="2160"/>
          </w:tcPr>
          <w:p>
            <w:r>
              <w:t>$6,272.00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