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Progress Report — Month 5 (October 2026)</w:t>
      </w:r>
    </w:p>
    <w:p>
      <w:r>
        <w:rPr>
          <w:b/>
        </w:rPr>
        <w:t xml:space="preserve">Project Title: </w:t>
      </w:r>
      <w:r>
        <w:t>Texas Cool Schools — Rio Grande Valley (Grant #25065)</w:t>
        <w:br/>
      </w:r>
      <w:r>
        <w:rPr>
          <w:b/>
        </w:rPr>
        <w:t xml:space="preserve">Subaward Agreement: </w:t>
      </w:r>
      <w:r>
        <w:t>Master Service Agreement TTF_UTRGV_FINAL_05252026</w:t>
        <w:br/>
      </w:r>
      <w:r>
        <w:rPr>
          <w:b/>
        </w:rPr>
        <w:t xml:space="preserve">Reporting Period: </w:t>
      </w:r>
      <w:r>
        <w:t>October 1, 2026 – October 31, 2026 (Month 5 of 19)</w:t>
        <w:br/>
      </w:r>
      <w:r>
        <w:rPr>
          <w:b/>
        </w:rPr>
        <w:t xml:space="preserve">Date Submitted: </w:t>
      </w:r>
      <w:r>
        <w:t>October 29, 2026</w:t>
        <w:br/>
      </w:r>
      <w:r>
        <w:rPr>
          <w:b/>
        </w:rPr>
        <w:t xml:space="preserve">Prepared By: </w:t>
      </w:r>
      <w:r>
        <w:t>Dr. Engil Pereira (PI) &amp; Donald R. Reed III (Graduate Research Assistant), UTRGV School of Earth, Environmental, and Marine Sciences (SEEMS)</w:t>
        <w:br/>
      </w:r>
      <w:r>
        <w:rPr>
          <w:b/>
        </w:rPr>
        <w:t xml:space="preserve">Submitted To: </w:t>
      </w:r>
      <w:r>
        <w:t>Jorge Rodriguez (Project Liaison &amp; Site Lead, Operations) &amp; Kristinaoshia Torres (Project Manager), Texas Trees Foundation (TTFS)</w:t>
      </w:r>
    </w:p>
    <w:p>
      <w:pPr>
        <w:pStyle w:val="Heading2"/>
      </w:pPr>
      <w:r>
        <w:t>1. Executive Summary</w:t>
      </w:r>
    </w:p>
    <w:p>
      <w:r>
        <w:t>During October 2026 (Month 5), the UTRGV Agroecology Lab team completed the two scheduled contractual milestones under Exhibit D of the Master Service Agreement: (1) Deliverable C (oct-26-1: $3,730.00): Near-final deployment of Dashboard v2 incorporating the Texas Trees Foundation v1 design review feedback, navigation streamlining, consolidated heat/shade campus simulations, 3-stage Pre/Post-to-Mature impact reports, backend semi-urban soil growth calibration, and interactive student learning labs; and (2) Deliverable A (oct-26-2: $2,542.00): Preparation of the formal 2027 Reporting Workplan (review cycles, stakeholder roles, and training schedule) and execution of the October 31 Final Baseline Atlas Lock across all 8 participating campuses in Donna ISD and Mercedes ISD.</w:t>
      </w:r>
    </w:p>
    <w:p>
      <w:pPr>
        <w:pStyle w:val="Heading2"/>
      </w:pPr>
      <w:r>
        <w:t>2. Milestone Completion &amp; Technical Accomplishments</w:t>
      </w:r>
    </w:p>
    <w:p>
      <w:pPr>
        <w:pStyle w:val="Heading3"/>
      </w:pPr>
      <w:r>
        <w:t>2.1 Deliverable C (oct-26-1): Dashboard v2 Near-Final &amp; UX Streamlining ($3,730.00)</w:t>
      </w:r>
    </w:p>
    <w:p>
      <w:pPr>
        <w:pStyle w:val="ListBullet"/>
      </w:pPr>
      <w:r>
        <w:rPr>
          <w:b/>
        </w:rPr>
        <w:t xml:space="preserve">Navigation Streamlining &amp; Full v1 Archive Preservation: </w:t>
      </w:r>
      <w:r>
        <w:t>Removed 6 secondary technical tabs (Site Zoning, Economic/ROI, Trails, Wind, Water, Soil) from the primary navigation bar to create a focused, public- and student-friendly interface while preserving the complete 49-page v1 engineering suite on Git branch archive/v1-full-suite (tag v1.0-full-archive).</w:t>
      </w:r>
    </w:p>
    <w:p>
      <w:pPr>
        <w:pStyle w:val="ListBullet"/>
      </w:pPr>
      <w:r>
        <w:rPr>
          <w:b/>
        </w:rPr>
        <w:t xml:space="preserve">Consolidation of Heat &amp; Shade Modules with Representative Campus Simulations: </w:t>
      </w:r>
      <w:r>
        <w:t>Consolidated Surface Breakdown, the 3D Shade Model, and Temperature under Albedo &amp; Reflectance (albedo.html) with one-click representative campus simulations for J.W. Caceres Discovery Intermediate (Donna ISD) and Ruben Hinojosa Elementary (Mercedes ISD).</w:t>
      </w:r>
    </w:p>
    <w:p>
      <w:pPr>
        <w:pStyle w:val="ListBullet"/>
      </w:pPr>
      <w:r>
        <w:rPr>
          <w:b/>
        </w:rPr>
        <w:t xml:space="preserve">3-Stage Pre/Post-to-Mature Impact Reports: </w:t>
      </w:r>
      <w:r>
        <w:t>Added Before Planting → Newly Planted (Year 1) → Grown Trees (10–15 Yr) impact comparison cards across Dashboard Overview (dashboard_map.html), Canopy Over Time (canopy.html), Albedo &amp; Reflectance (albedo.html), Impact (index.html), and i-Tree Eco Ledger (itree_ledger.html).</w:t>
      </w:r>
    </w:p>
    <w:p>
      <w:pPr>
        <w:pStyle w:val="ListBullet"/>
      </w:pPr>
      <w:r>
        <w:rPr>
          <w:b/>
        </w:rPr>
        <w:t xml:space="preserve">Backend Semi-Urban Schoolyard Soil Calibration: </w:t>
      </w:r>
      <w:r>
        <w:t>Calibrated the i-Tree Eco and canopy growth engine (config.js, itree_engine.js) to automatically apply compacted semi-urban schoolyard soil parameters in the backend (0.64x radial growth rate, 0.84x max crown radius, 2-year establishment lag, 94% survival), projecting realistic 10–15 year canopy coverage of ~22.8% (Donna ISD) and ~21.6% (Mercedes ISD) without exposing complex soil mechanics equations to students or the public.</w:t>
      </w:r>
    </w:p>
    <w:p>
      <w:pPr>
        <w:pStyle w:val="ListBullet"/>
      </w:pPr>
      <w:r>
        <w:rPr>
          <w:b/>
        </w:rPr>
        <w:t xml:space="preserve">Live District Feeds &amp; Tactile Elementary/Middle School Labs: </w:t>
      </w:r>
      <w:r>
        <w:t>Maintained Biodiversity (biodiversity.html) and Tree Sponsorship Roster (rivas_tree_roster.html) as live district-updated modules, and integrated three COPPA/FERPA-compliant student labs into the navigation bar: Birding &amp; Tree Bulletin Board (birding_biodiversity_bulletin.html), Tree Stewardship Journal (tree_stewardship_journal.html), and IR Surface Temp Lab (ir_surface_temp_lab.html).</w:t>
      </w:r>
    </w:p>
    <w:p>
      <w:pPr>
        <w:pStyle w:val="ListBullet"/>
      </w:pPr>
      <w:r>
        <w:rPr>
          <w:b/>
        </w:rPr>
        <w:t xml:space="preserve">Active Review Badges &amp; Page-Level Alignment Roadmaps: </w:t>
      </w:r>
      <w:r>
        <w:t>Added visual Under Construction navigation badges and page-top alignment banners outlining the November–December 2026 consolidation roadmap across pages undergoing district feedback review.</w:t>
      </w:r>
    </w:p>
    <w:p>
      <w:pPr>
        <w:pStyle w:val="Heading3"/>
      </w:pPr>
      <w:r>
        <w:t>2.2 Deliverable A (oct-26-2): 2027 Reporting Workplan &amp; Final Baseline Lock ($2,542.00)</w:t>
      </w:r>
    </w:p>
    <w:p>
      <w:pPr>
        <w:pStyle w:val="ListBullet"/>
      </w:pPr>
      <w:r>
        <w:rPr>
          <w:b/>
        </w:rPr>
        <w:t xml:space="preserve">2027 Reporting Workplan (docs/2027_Reporting_Workplan.md): </w:t>
      </w:r>
      <w:r>
        <w:t>Authored the comprehensive 2027 operational workplan establishing the quarterly data ingestion and review cycles (Q1–Q4 2027), the 10-business-day TTFS/UTRGV review SLA, RACI responsibilities across UTRGV, TTFS, and ISD liaisons, and the 2027 educator/facilities training calendar.</w:t>
      </w:r>
    </w:p>
    <w:p>
      <w:pPr>
        <w:pStyle w:val="ListBullet"/>
      </w:pPr>
      <w:r>
        <w:rPr>
          <w:b/>
        </w:rPr>
        <w:t xml:space="preserve">Final Pre-Planting Baseline Atlas Lock: </w:t>
      </w:r>
      <w:r>
        <w:t>Completed final quality assurance and immutable baseline locking of the 2026 pre-planting environmental dataset across all 8 Donna ISD and Mercedes ISD campuses ahead of the Fall 2026 / Winter 2027 planting window.</w:t>
      </w:r>
    </w:p>
    <w:p>
      <w:pPr>
        <w:pStyle w:val="Heading2"/>
      </w:pPr>
      <w:r>
        <w:t>3. Financial &amp; Budget Summary (Month 5 — October 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Deliverable Category</w:t>
            </w:r>
          </w:p>
        </w:tc>
        <w:tc>
          <w:tcPr>
            <w:tcW w:type="dxa" w:w="1440"/>
          </w:tcPr>
          <w:p>
            <w:r>
              <w:t>Total Contract Budget</w:t>
            </w:r>
          </w:p>
        </w:tc>
        <w:tc>
          <w:tcPr>
            <w:tcW w:type="dxa" w:w="1440"/>
          </w:tcPr>
          <w:p>
            <w:r>
              <w:t>Prior Billed (Months 1–4)</w:t>
            </w:r>
          </w:p>
        </w:tc>
        <w:tc>
          <w:tcPr>
            <w:tcW w:type="dxa" w:w="1440"/>
          </w:tcPr>
          <w:p>
            <w:r>
              <w:t>Current Period (Month 5)</w:t>
            </w:r>
          </w:p>
        </w:tc>
        <w:tc>
          <w:tcPr>
            <w:tcW w:type="dxa" w:w="1440"/>
          </w:tcPr>
          <w:p>
            <w:r>
              <w:t>Cumulative Billed</w:t>
            </w:r>
          </w:p>
        </w:tc>
        <w:tc>
          <w:tcPr>
            <w:tcW w:type="dxa" w:w="1440"/>
          </w:tcPr>
          <w:p>
            <w:r>
              <w:t>Remaining Balance</w:t>
            </w:r>
          </w:p>
        </w:tc>
      </w:tr>
      <w:tr>
        <w:tc>
          <w:tcPr>
            <w:tcW w:type="dxa" w:w="1440"/>
          </w:tcPr>
          <w:p>
            <w:r>
              <w:t>Deliverable A: Pre- &amp; Post-Planting Data &amp; Reports</w:t>
            </w:r>
          </w:p>
        </w:tc>
        <w:tc>
          <w:tcPr>
            <w:tcW w:type="dxa" w:w="1440"/>
          </w:tcPr>
          <w:p>
            <w:r>
              <w:t>$52,542.00</w:t>
            </w:r>
          </w:p>
        </w:tc>
        <w:tc>
          <w:tcPr>
            <w:tcW w:type="dxa" w:w="1440"/>
          </w:tcPr>
          <w:p>
            <w:r>
              <w:t>$27,730.00</w:t>
            </w:r>
          </w:p>
        </w:tc>
        <w:tc>
          <w:tcPr>
            <w:tcW w:type="dxa" w:w="1440"/>
          </w:tcPr>
          <w:p>
            <w:r>
              <w:t>$2,542.00</w:t>
            </w:r>
          </w:p>
        </w:tc>
        <w:tc>
          <w:tcPr>
            <w:tcW w:type="dxa" w:w="1440"/>
          </w:tcPr>
          <w:p>
            <w:r>
              <w:t>$30,272.00</w:t>
            </w:r>
          </w:p>
        </w:tc>
        <w:tc>
          <w:tcPr>
            <w:tcW w:type="dxa" w:w="1440"/>
          </w:tcPr>
          <w:p>
            <w:r>
              <w:t>$22,270.00</w:t>
            </w:r>
          </w:p>
        </w:tc>
      </w:tr>
      <w:tr>
        <w:tc>
          <w:tcPr>
            <w:tcW w:type="dxa" w:w="1440"/>
          </w:tcPr>
          <w:p>
            <w:r>
              <w:t>Deliverable B: Monitoring Docs &amp; Training Workshops</w:t>
            </w:r>
          </w:p>
        </w:tc>
        <w:tc>
          <w:tcPr>
            <w:tcW w:type="dxa" w:w="1440"/>
          </w:tcPr>
          <w:p>
            <w:r>
              <w:t>$52,541.00</w:t>
            </w:r>
          </w:p>
        </w:tc>
        <w:tc>
          <w:tcPr>
            <w:tcW w:type="dxa" w:w="1440"/>
          </w:tcPr>
          <w:p>
            <w:r>
              <w:t>$29,521.00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$29,521.00</w:t>
            </w:r>
          </w:p>
        </w:tc>
        <w:tc>
          <w:tcPr>
            <w:tcW w:type="dxa" w:w="1440"/>
          </w:tcPr>
          <w:p>
            <w:r>
              <w:t>$23,020.00</w:t>
            </w:r>
          </w:p>
        </w:tc>
      </w:tr>
      <w:tr>
        <w:tc>
          <w:tcPr>
            <w:tcW w:type="dxa" w:w="1440"/>
          </w:tcPr>
          <w:p>
            <w:r>
              <w:t>Deliverable C: Interactive Geospatial Dashboard</w:t>
            </w:r>
          </w:p>
        </w:tc>
        <w:tc>
          <w:tcPr>
            <w:tcW w:type="dxa" w:w="1440"/>
          </w:tcPr>
          <w:p>
            <w:r>
              <w:t>$52,542.00</w:t>
            </w:r>
          </w:p>
        </w:tc>
        <w:tc>
          <w:tcPr>
            <w:tcW w:type="dxa" w:w="1440"/>
          </w:tcPr>
          <w:p>
            <w:r>
              <w:t>$33,812.00</w:t>
            </w:r>
          </w:p>
        </w:tc>
        <w:tc>
          <w:tcPr>
            <w:tcW w:type="dxa" w:w="1440"/>
          </w:tcPr>
          <w:p>
            <w:r>
              <w:t>$3,730.00</w:t>
            </w:r>
          </w:p>
        </w:tc>
        <w:tc>
          <w:tcPr>
            <w:tcW w:type="dxa" w:w="1440"/>
          </w:tcPr>
          <w:p>
            <w:r>
              <w:t>$37,542.00</w:t>
            </w:r>
          </w:p>
        </w:tc>
        <w:tc>
          <w:tcPr>
            <w:tcW w:type="dxa" w:w="1440"/>
          </w:tcPr>
          <w:p>
            <w:r>
              <w:t>$15,000.00</w:t>
            </w:r>
          </w:p>
        </w:tc>
      </w:tr>
      <w:tr>
        <w:tc>
          <w:tcPr>
            <w:tcW w:type="dxa" w:w="1440"/>
          </w:tcPr>
          <w:p>
            <w:r>
              <w:t>TOTAL CONTRACT (Grant #25065)</w:t>
            </w:r>
          </w:p>
        </w:tc>
        <w:tc>
          <w:tcPr>
            <w:tcW w:type="dxa" w:w="1440"/>
          </w:tcPr>
          <w:p>
            <w:r>
              <w:t>$157,625.00</w:t>
            </w:r>
          </w:p>
        </w:tc>
        <w:tc>
          <w:tcPr>
            <w:tcW w:type="dxa" w:w="1440"/>
          </w:tcPr>
          <w:p>
            <w:r>
              <w:t>$91,063.00 (57.8%)</w:t>
            </w:r>
          </w:p>
        </w:tc>
        <w:tc>
          <w:tcPr>
            <w:tcW w:type="dxa" w:w="1440"/>
          </w:tcPr>
          <w:p>
            <w:r>
              <w:t>$6,272.00</w:t>
            </w:r>
          </w:p>
        </w:tc>
        <w:tc>
          <w:tcPr>
            <w:tcW w:type="dxa" w:w="1440"/>
          </w:tcPr>
          <w:p>
            <w:r>
              <w:t>$97,335.00 (61.8%)</w:t>
            </w:r>
          </w:p>
        </w:tc>
        <w:tc>
          <w:tcPr>
            <w:tcW w:type="dxa" w:w="1440"/>
          </w:tcPr>
          <w:p>
            <w:r>
              <w:t>$60,290.00 (38.2%)</w:t>
            </w:r>
          </w:p>
        </w:tc>
      </w:tr>
    </w:tbl>
    <w:p>
      <w:pPr>
        <w:pStyle w:val="Heading2"/>
      </w:pPr>
      <w:r>
        <w:t>4. Upcoming Milestones — Month 6 (November 2026)</w:t>
      </w:r>
    </w:p>
    <w:p>
      <w:pPr>
        <w:pStyle w:val="ListBullet"/>
      </w:pPr>
      <w:r>
        <w:t>nov-26-1 (Deliverable C — $3,730.00): Model consolidation, alignment of visuals with text, and figure index build across retained v2 pages.</w:t>
      </w:r>
    </w:p>
    <w:p>
      <w:pPr>
        <w:pStyle w:val="ListBullet"/>
      </w:pPr>
      <w:r>
        <w:t>nov-26-2 (Deliverable B — $2,541.00): Training #1 preparation finalized and workshop logistics confirmed with Donna ISD and Mercedes ISD.</w:t>
      </w:r>
    </w:p>
    <w:p>
      <w:pPr>
        <w:pStyle w:val="ListBullet"/>
      </w:pPr>
      <w:r>
        <w:t>nov-26-3 (Deliverable A — $2,542.00): Collect and integrate TTFS and school district partner feedback on the 2027 Reporting Workplan and TEKS lesson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