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2E7D32"/>
          <w:sz w:val="19"/>
        </w:rPr>
        <w:t>TEXAS TREES FOUNDATION  |  UTRGV COOL SCHOOLS PROJECT</w:t>
        <w:br/>
      </w:r>
      <w:r>
        <w:rPr>
          <w:b/>
          <w:color w:val="1B4D3E"/>
          <w:sz w:val="34"/>
        </w:rPr>
        <w:t>Bringing the Cool Schools Dashboard to Life:</w:t>
        <w:br/>
        <w:t>On-Campus Shade Satisfaction &amp; Thermal Pulse Kiosks</w:t>
      </w:r>
    </w:p>
    <w:p>
      <w:pPr>
        <w:spacing w:after="200"/>
      </w:pPr>
      <w:r>
        <w:rPr>
          <w:i/>
          <w:color w:val="646464"/>
          <w:sz w:val="19"/>
        </w:rPr>
        <w:t>Strategic Concept &amp; Implementation One-Pager  •  Ground-Truthing Human Comfort Across RGV Campuses</w:t>
      </w:r>
    </w:p>
    <w:tbl>
      <w:tblPr>
        <w:tblW w:type="auto" w:w="0"/>
        <w:jc w:val="center"/>
        <w:tblLayout w:type="fixed"/>
        <w:tblLook w:firstColumn="1" w:firstRow="1" w:lastColumn="0" w:lastRow="0" w:noHBand="0" w:noVBand="1" w:val="04A0"/>
      </w:tblPr>
      <w:tblGrid>
        <w:gridCol w:w="6768"/>
        <w:gridCol w:w="3456"/>
      </w:tblGrid>
      <w:tr>
        <w:tc>
          <w:tcPr>
            <w:tcW w:type="dxa" w:w="5112"/>
          </w:tcPr>
          <w:p>
            <w:pPr>
              <w:spacing w:after="80"/>
            </w:pPr>
            <w:r>
              <w:rPr>
                <w:b/>
                <w:color w:val="1B4D3E"/>
                <w:sz w:val="24"/>
              </w:rPr>
              <w:t>1. Executive Summary &amp; Core Value</w:t>
              <w:br/>
            </w:r>
          </w:p>
          <w:p>
            <w:pPr>
              <w:spacing w:after="80" w:line="276" w:lineRule="auto"/>
            </w:pPr>
            <w:r>
              <w:t xml:space="preserve">The TTFS UTRGV Cool Schools Dashboard visualizes tree canopy coverage, heat islands, and cooling benefits across Rio Grande Valley elementary campuses. While satellite GIS models provide powerful spatial intelligence, deploying physical </w:t>
            </w:r>
            <w:r>
              <w:rPr>
                <w:b/>
              </w:rPr>
              <w:t>Shade Satisfaction Kiosks</w:t>
            </w:r>
            <w:r>
              <w:t xml:space="preserve"> on campus bridges the gap between digital data and real-world student/teacher lived experience.</w:t>
              <w:br/>
              <w:br/>
              <w:t xml:space="preserve">By placing single-touch feedback terminals at outdoor microclimate zones (playgrounds, drop-off lanes, outdoor classrooms, and newly planted tree groves), campuses capture real-time community sentiment on thermal comfort. This turns the dashboard into a </w:t>
            </w:r>
            <w:r>
              <w:rPr>
                <w:b/>
              </w:rPr>
              <w:t>living, breathing feedback loop.</w:t>
            </w:r>
          </w:p>
        </w:tc>
        <w:tc>
          <w:tcPr>
            <w:tcW w:type="dxa" w:w="5112"/>
          </w:tcPr>
          <w:p>
            <w:pPr>
              <w:spacing w:after="40"/>
              <w:jc w:val="center"/>
            </w:pPr>
            <w:r>
              <w:drawing>
                <wp:inline xmlns:a="http://schemas.openxmlformats.org/drawingml/2006/main" xmlns:pic="http://schemas.openxmlformats.org/drawingml/2006/picture">
                  <wp:extent cx="1920240" cy="1440180"/>
                  <wp:docPr id="1" name="Picture 1"/>
                  <wp:cNvGraphicFramePr>
                    <a:graphicFrameLocks noChangeAspect="1"/>
                  </wp:cNvGraphicFramePr>
                  <a:graphic>
                    <a:graphicData uri="http://schemas.openxmlformats.org/drawingml/2006/picture">
                      <pic:pic>
                        <pic:nvPicPr>
                          <pic:cNvPr id="0" name="IMG_0217.jpeg"/>
                          <pic:cNvPicPr/>
                        </pic:nvPicPr>
                        <pic:blipFill>
                          <a:blip r:embed="rId9"/>
                          <a:stretch>
                            <a:fillRect/>
                          </a:stretch>
                        </pic:blipFill>
                        <pic:spPr>
                          <a:xfrm>
                            <a:off x="0" y="0"/>
                            <a:ext cx="1920240" cy="1440180"/>
                          </a:xfrm>
                          <a:prstGeom prst="rect"/>
                        </pic:spPr>
                      </pic:pic>
                    </a:graphicData>
                  </a:graphic>
                </wp:inline>
              </w:drawing>
            </w:r>
          </w:p>
          <w:p>
            <w:pPr>
              <w:spacing w:after="0"/>
              <w:jc w:val="center"/>
            </w:pPr>
            <w:r>
              <w:rPr>
                <w:i/>
                <w:color w:val="646464"/>
                <w:sz w:val="15"/>
              </w:rPr>
              <w:t>Campus-ready terminal (4-point smiley scale)</w:t>
            </w:r>
          </w:p>
        </w:tc>
      </w:tr>
    </w:tbl>
    <w:p>
      <w:pPr>
        <w:keepNext/>
        <w:spacing w:before="240" w:after="60"/>
      </w:pPr>
      <w:r>
        <w:rPr>
          <w:rFonts w:ascii="Calibri" w:hAnsi="Calibri"/>
          <w:b/>
          <w:color w:val="1B4D3E"/>
          <w:sz w:val="26"/>
        </w:rPr>
        <w:t>2. Why Ground-Truth Kiosks Elevate the Dashboard</w:t>
      </w:r>
    </w:p>
    <w:p>
      <w:pPr>
        <w:spacing w:after="40" w:line="276" w:lineRule="auto"/>
      </w:pPr>
    </w:p>
    <w:p>
      <w:pPr>
        <w:spacing w:after="60" w:line="276" w:lineRule="auto"/>
        <w:ind w:left="288"/>
      </w:pPr>
      <w:r>
        <w:rPr>
          <w:b/>
          <w:color w:val="2E7D32"/>
        </w:rPr>
        <w:t xml:space="preserve">•  </w:t>
      </w:r>
      <w:r>
        <w:rPr>
          <w:b/>
          <w:color w:val="282828"/>
        </w:rPr>
        <w:t xml:space="preserve">Live Thermal Sentiment vs. Temperature: </w:t>
      </w:r>
      <w:r>
        <w:rPr>
          <w:color w:val="282828"/>
        </w:rPr>
        <w:t>Correlates ambient weather sensor data with real human satisfaction (e.g., 'At 96°F, the new tree canopy area maintained 88% satisfaction vs. 15% in unshaded asphalt').</w:t>
      </w:r>
    </w:p>
    <w:p>
      <w:pPr>
        <w:spacing w:after="60" w:line="276" w:lineRule="auto"/>
        <w:ind w:left="288"/>
      </w:pPr>
      <w:r>
        <w:rPr>
          <w:b/>
          <w:color w:val="2E7D32"/>
        </w:rPr>
        <w:t xml:space="preserve">•  </w:t>
      </w:r>
      <w:r>
        <w:rPr>
          <w:b/>
          <w:color w:val="282828"/>
        </w:rPr>
        <w:t xml:space="preserve">10-Year Growth Trajectory: </w:t>
      </w:r>
      <w:r>
        <w:rPr>
          <w:color w:val="282828"/>
        </w:rPr>
        <w:t>Tracks the rising curve of campus shade happiness year-over-year as young trees mature into expansive cooling canopies.</w:t>
      </w:r>
    </w:p>
    <w:p>
      <w:pPr>
        <w:spacing w:after="60" w:line="276" w:lineRule="auto"/>
        <w:ind w:left="288"/>
      </w:pPr>
      <w:r>
        <w:rPr>
          <w:b/>
          <w:color w:val="2E7D32"/>
        </w:rPr>
        <w:t xml:space="preserve">•  </w:t>
      </w:r>
      <w:r>
        <w:rPr>
          <w:b/>
          <w:color w:val="282828"/>
        </w:rPr>
        <w:t xml:space="preserve">Frictionless &amp; Engaging: </w:t>
      </w:r>
      <w:r>
        <w:rPr>
          <w:color w:val="282828"/>
        </w:rPr>
        <w:t>Takes under 2 seconds for students and staff entering from recess or bus pickup—yielding thousands of data points without logins or screen distractions.</w:t>
      </w:r>
    </w:p>
    <w:p>
      <w:pPr>
        <w:spacing w:after="60" w:line="276" w:lineRule="auto"/>
        <w:ind w:left="288"/>
      </w:pPr>
      <w:r>
        <w:rPr>
          <w:b/>
          <w:color w:val="2E7D32"/>
        </w:rPr>
        <w:t xml:space="preserve">•  </w:t>
      </w:r>
      <w:r>
        <w:rPr>
          <w:b/>
          <w:color w:val="282828"/>
        </w:rPr>
        <w:t xml:space="preserve">Data-Driven Forest Planning: </w:t>
      </w:r>
      <w:r>
        <w:rPr>
          <w:color w:val="282828"/>
        </w:rPr>
        <w:t>Pinpoints 'shade deserts' with acute dissatisfaction, giving Texas Trees Foundation and district facility leaders exact locations where additional tree plantings or shade sails are needed most.</w:t>
      </w:r>
    </w:p>
    <w:p>
      <w:pPr>
        <w:keepNext/>
        <w:spacing w:before="240" w:after="60"/>
      </w:pPr>
      <w:r>
        <w:rPr>
          <w:rFonts w:ascii="Calibri" w:hAnsi="Calibri"/>
          <w:b/>
          <w:color w:val="1B4D3E"/>
          <w:sz w:val="26"/>
        </w:rPr>
        <w:t>3. Targeted Campus Deployment Zones</w:t>
      </w:r>
    </w:p>
    <w:tbl>
      <w:tblPr>
        <w:tblW w:type="auto" w:w="0"/>
        <w:jc w:val="center"/>
        <w:tblLayout w:type="fixed"/>
        <w:tblLook w:firstColumn="1" w:firstRow="1" w:lastColumn="0" w:lastRow="0" w:noHBand="0" w:noVBand="1" w:val="04A0"/>
      </w:tblPr>
      <w:tblGrid>
        <w:gridCol w:w="2592"/>
        <w:gridCol w:w="3888"/>
        <w:gridCol w:w="3744"/>
      </w:tblGrid>
      <w:tr>
        <w:tc>
          <w:tcPr>
            <w:tcW w:type="dxa" w:w="3408"/>
            <w:shd w:fill="1B4D3E"/>
            <w:tcMar>
              <w:top w:w="80" w:type="dxa"/>
              <w:bottom w:w="80" w:type="dxa"/>
              <w:left w:w="100" w:type="dxa"/>
              <w:right w:w="100" w:type="dxa"/>
            </w:tcMar>
          </w:tcPr>
          <w:p>
            <w:pPr>
              <w:spacing w:after="0"/>
            </w:pPr>
            <w:r>
              <w:rPr>
                <w:b/>
                <w:color w:val="FFFFFF"/>
                <w:sz w:val="19"/>
              </w:rPr>
              <w:t>Zone Location</w:t>
            </w:r>
          </w:p>
        </w:tc>
        <w:tc>
          <w:tcPr>
            <w:tcW w:type="dxa" w:w="3408"/>
            <w:shd w:fill="1B4D3E"/>
            <w:tcMar>
              <w:top w:w="80" w:type="dxa"/>
              <w:bottom w:w="80" w:type="dxa"/>
              <w:left w:w="100" w:type="dxa"/>
              <w:right w:w="100" w:type="dxa"/>
            </w:tcMar>
          </w:tcPr>
          <w:p>
            <w:pPr>
              <w:spacing w:after="0"/>
            </w:pPr>
            <w:r>
              <w:rPr>
                <w:b/>
                <w:color w:val="FFFFFF"/>
                <w:sz w:val="19"/>
              </w:rPr>
              <w:t>On-Screen Prompt / Question</w:t>
            </w:r>
          </w:p>
        </w:tc>
        <w:tc>
          <w:tcPr>
            <w:tcW w:type="dxa" w:w="3408"/>
            <w:shd w:fill="1B4D3E"/>
            <w:tcMar>
              <w:top w:w="80" w:type="dxa"/>
              <w:bottom w:w="80" w:type="dxa"/>
              <w:left w:w="100" w:type="dxa"/>
              <w:right w:w="100" w:type="dxa"/>
            </w:tcMar>
          </w:tcPr>
          <w:p>
            <w:pPr>
              <w:spacing w:after="0"/>
            </w:pPr>
            <w:r>
              <w:rPr>
                <w:b/>
                <w:color w:val="FFFFFF"/>
                <w:sz w:val="19"/>
              </w:rPr>
              <w:t>Strategic Value to TTFS / District</w:t>
            </w:r>
          </w:p>
        </w:tc>
      </w:tr>
      <w:tr>
        <w:tc>
          <w:tcPr>
            <w:tcW w:type="dxa" w:w="3408"/>
            <w:shd w:fill="FFFFFF"/>
            <w:tcMar>
              <w:top w:w="70" w:type="dxa"/>
              <w:bottom w:w="70" w:type="dxa"/>
              <w:left w:w="100" w:type="dxa"/>
              <w:right w:w="100" w:type="dxa"/>
            </w:tcMar>
          </w:tcPr>
          <w:p>
            <w:pPr>
              <w:spacing w:after="0"/>
            </w:pPr>
            <w:r>
              <w:rPr>
                <w:b/>
                <w:sz w:val="18"/>
              </w:rPr>
              <w:t>Zone A: Recess / Playground</w:t>
            </w:r>
          </w:p>
        </w:tc>
        <w:tc>
          <w:tcPr>
            <w:tcW w:type="dxa" w:w="3408"/>
            <w:shd w:fill="FFFFFF"/>
            <w:tcMar>
              <w:top w:w="70" w:type="dxa"/>
              <w:bottom w:w="70" w:type="dxa"/>
              <w:left w:w="100" w:type="dxa"/>
              <w:right w:w="100" w:type="dxa"/>
            </w:tcMar>
          </w:tcPr>
          <w:p>
            <w:pPr>
              <w:spacing w:after="0"/>
            </w:pPr>
            <w:r>
              <w:rPr>
                <w:sz w:val="18"/>
              </w:rPr>
              <w:t>"How cool &amp; comfortable is the shade during playtime today?"</w:t>
            </w:r>
          </w:p>
        </w:tc>
        <w:tc>
          <w:tcPr>
            <w:tcW w:type="dxa" w:w="3408"/>
            <w:shd w:fill="FFFFFF"/>
            <w:tcMar>
              <w:top w:w="70" w:type="dxa"/>
              <w:bottom w:w="70" w:type="dxa"/>
              <w:left w:w="100" w:type="dxa"/>
              <w:right w:w="100" w:type="dxa"/>
            </w:tcMar>
          </w:tcPr>
          <w:p>
            <w:pPr>
              <w:spacing w:after="0"/>
            </w:pPr>
            <w:r>
              <w:rPr>
                <w:sz w:val="18"/>
              </w:rPr>
              <w:t>Measures peak midday heat vulnerability and child thermal relief.</w:t>
            </w:r>
          </w:p>
        </w:tc>
      </w:tr>
      <w:tr>
        <w:tc>
          <w:tcPr>
            <w:tcW w:type="dxa" w:w="3408"/>
            <w:shd w:fill="F7FAF8"/>
            <w:tcMar>
              <w:top w:w="70" w:type="dxa"/>
              <w:bottom w:w="70" w:type="dxa"/>
              <w:left w:w="100" w:type="dxa"/>
              <w:right w:w="100" w:type="dxa"/>
            </w:tcMar>
          </w:tcPr>
          <w:p>
            <w:pPr>
              <w:spacing w:after="0"/>
            </w:pPr>
            <w:r>
              <w:rPr>
                <w:b/>
                <w:sz w:val="18"/>
              </w:rPr>
              <w:t>Zone B: Bus Loop &amp; Pick-Up</w:t>
            </w:r>
          </w:p>
        </w:tc>
        <w:tc>
          <w:tcPr>
            <w:tcW w:type="dxa" w:w="3408"/>
            <w:shd w:fill="F7FAF8"/>
            <w:tcMar>
              <w:top w:w="70" w:type="dxa"/>
              <w:bottom w:w="70" w:type="dxa"/>
              <w:left w:w="100" w:type="dxa"/>
              <w:right w:w="100" w:type="dxa"/>
            </w:tcMar>
          </w:tcPr>
          <w:p>
            <w:pPr>
              <w:spacing w:after="0"/>
            </w:pPr>
            <w:r>
              <w:rPr>
                <w:sz w:val="18"/>
              </w:rPr>
              <w:t>"Rate your shade &amp; coolness while waiting for pickup."</w:t>
            </w:r>
          </w:p>
        </w:tc>
        <w:tc>
          <w:tcPr>
            <w:tcW w:type="dxa" w:w="3408"/>
            <w:shd w:fill="F7FAF8"/>
            <w:tcMar>
              <w:top w:w="70" w:type="dxa"/>
              <w:bottom w:w="70" w:type="dxa"/>
              <w:left w:w="100" w:type="dxa"/>
              <w:right w:w="100" w:type="dxa"/>
            </w:tcMar>
          </w:tcPr>
          <w:p>
            <w:pPr>
              <w:spacing w:after="0"/>
            </w:pPr>
            <w:r>
              <w:rPr>
                <w:sz w:val="18"/>
              </w:rPr>
              <w:t>Captures thermal burden on waiting parents, staff, and students.</w:t>
            </w:r>
          </w:p>
        </w:tc>
      </w:tr>
      <w:tr>
        <w:tc>
          <w:tcPr>
            <w:tcW w:type="dxa" w:w="3408"/>
            <w:shd w:fill="FFFFFF"/>
            <w:tcMar>
              <w:top w:w="70" w:type="dxa"/>
              <w:bottom w:w="70" w:type="dxa"/>
              <w:left w:w="100" w:type="dxa"/>
              <w:right w:w="100" w:type="dxa"/>
            </w:tcMar>
          </w:tcPr>
          <w:p>
            <w:pPr>
              <w:spacing w:after="0"/>
            </w:pPr>
            <w:r>
              <w:rPr>
                <w:b/>
                <w:sz w:val="18"/>
              </w:rPr>
              <w:t>Zone C: TTFS Tree Grove</w:t>
            </w:r>
          </w:p>
        </w:tc>
        <w:tc>
          <w:tcPr>
            <w:tcW w:type="dxa" w:w="3408"/>
            <w:shd w:fill="FFFFFF"/>
            <w:tcMar>
              <w:top w:w="70" w:type="dxa"/>
              <w:bottom w:w="70" w:type="dxa"/>
              <w:left w:w="100" w:type="dxa"/>
              <w:right w:w="100" w:type="dxa"/>
            </w:tcMar>
          </w:tcPr>
          <w:p>
            <w:pPr>
              <w:spacing w:after="0"/>
            </w:pPr>
            <w:r>
              <w:rPr>
                <w:sz w:val="18"/>
              </w:rPr>
              <w:t>"How refreshing is the shade in this tree grove today?"</w:t>
            </w:r>
          </w:p>
        </w:tc>
        <w:tc>
          <w:tcPr>
            <w:tcW w:type="dxa" w:w="3408"/>
            <w:shd w:fill="FFFFFF"/>
            <w:tcMar>
              <w:top w:w="70" w:type="dxa"/>
              <w:bottom w:w="70" w:type="dxa"/>
              <w:left w:w="100" w:type="dxa"/>
              <w:right w:w="100" w:type="dxa"/>
            </w:tcMar>
          </w:tcPr>
          <w:p>
            <w:pPr>
              <w:spacing w:after="0"/>
            </w:pPr>
            <w:r>
              <w:rPr>
                <w:sz w:val="18"/>
              </w:rPr>
              <w:t>Directly quantifies community appreciation of dedicated planting projects.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224"/>
            <w:shd w:fill="F1F8F5"/>
            <w:tcMar>
              <w:top w:w="120" w:type="dxa"/>
              <w:bottom w:w="120" w:type="dxa"/>
              <w:left w:w="200" w:type="dxa"/>
              <w:right w:w="180" w:type="dxa"/>
            </w:tcMar>
            <w:tcBorders>
              <w:top w:val="none"/>
              <w:left w:val="single" w:sz="24" w:space="0" w:color="1B4D3E"/>
              <w:bottom w:val="none"/>
              <w:right w:val="none"/>
            </w:tcBorders>
          </w:tcPr>
          <w:p>
            <w:pPr>
              <w:spacing w:after="0" w:line="276" w:lineRule="auto"/>
            </w:pPr>
            <w:r>
              <w:rPr>
                <w:b/>
                <w:color w:val="1B4D3E"/>
                <w:sz w:val="20"/>
              </w:rPr>
              <w:t xml:space="preserve">Privacy &amp; Compliance Guardrail (COPPA / FERPA Compliant): </w:t>
            </w:r>
            <w:r>
              <w:rPr>
                <w:color w:val="282828"/>
                <w:sz w:val="19"/>
              </w:rPr>
              <w:t>This hardware adheres strictly to Texas Trees Foundation, UTRGV, COPPA, and FERPA standards. Terminals record zero Personally Identifiable Information (no cameras, student IDs, or logins). Each touch simply emits an anonymized tuple [Timestamp, CampusID, ZoneID, Score 1-4], aggregated solely at the campus level.</w:t>
            </w:r>
          </w:p>
        </w:tc>
      </w:tr>
    </w:tbl>
    <w:p>
      <w:pPr>
        <w:keepNext/>
        <w:spacing w:before="240" w:after="60"/>
      </w:pPr>
      <w:r>
        <w:rPr>
          <w:rFonts w:ascii="Calibri" w:hAnsi="Calibri"/>
          <w:b/>
          <w:color w:val="1B4D3E"/>
          <w:sz w:val="26"/>
        </w:rPr>
        <w:t>4. Procurement Options &amp; Implementation Framework</w:t>
      </w:r>
    </w:p>
    <w:tbl>
      <w:tblPr>
        <w:tblW w:type="auto" w:w="0"/>
        <w:jc w:val="center"/>
        <w:tblLayout w:type="fixed"/>
        <w:tblLook w:firstColumn="1" w:firstRow="1" w:lastColumn="0" w:lastRow="0" w:noHBand="0" w:noVBand="1" w:val="04A0"/>
      </w:tblPr>
      <w:tblGrid>
        <w:gridCol w:w="2592"/>
        <w:gridCol w:w="3744"/>
        <w:gridCol w:w="1872"/>
        <w:gridCol w:w="2016"/>
      </w:tblGrid>
      <w:tr>
        <w:tc>
          <w:tcPr>
            <w:tcW w:type="dxa" w:w="2556"/>
            <w:shd w:fill="2E7D32"/>
            <w:tcMar>
              <w:top w:w="80" w:type="dxa"/>
              <w:bottom w:w="80" w:type="dxa"/>
              <w:left w:w="100" w:type="dxa"/>
              <w:right w:w="100" w:type="dxa"/>
            </w:tcMar>
          </w:tcPr>
          <w:p>
            <w:pPr>
              <w:spacing w:after="0"/>
            </w:pPr>
            <w:r>
              <w:rPr>
                <w:b/>
                <w:color w:val="FFFFFF"/>
                <w:sz w:val="19"/>
              </w:rPr>
              <w:t>Solution Model</w:t>
            </w:r>
          </w:p>
        </w:tc>
        <w:tc>
          <w:tcPr>
            <w:tcW w:type="dxa" w:w="2556"/>
            <w:shd w:fill="2E7D32"/>
            <w:tcMar>
              <w:top w:w="80" w:type="dxa"/>
              <w:bottom w:w="80" w:type="dxa"/>
              <w:left w:w="100" w:type="dxa"/>
              <w:right w:w="100" w:type="dxa"/>
            </w:tcMar>
          </w:tcPr>
          <w:p>
            <w:pPr>
              <w:spacing w:after="0"/>
            </w:pPr>
            <w:r>
              <w:rPr>
                <w:b/>
                <w:color w:val="FFFFFF"/>
                <w:sz w:val="19"/>
              </w:rPr>
              <w:t>Hardware &amp; Connectivity</w:t>
            </w:r>
          </w:p>
        </w:tc>
        <w:tc>
          <w:tcPr>
            <w:tcW w:type="dxa" w:w="2556"/>
            <w:shd w:fill="2E7D32"/>
            <w:tcMar>
              <w:top w:w="80" w:type="dxa"/>
              <w:bottom w:w="80" w:type="dxa"/>
              <w:left w:w="100" w:type="dxa"/>
              <w:right w:w="100" w:type="dxa"/>
            </w:tcMar>
          </w:tcPr>
          <w:p>
            <w:pPr>
              <w:spacing w:after="0"/>
            </w:pPr>
            <w:r>
              <w:rPr>
                <w:b/>
                <w:color w:val="FFFFFF"/>
                <w:sz w:val="19"/>
              </w:rPr>
              <w:t>Est. Cost</w:t>
            </w:r>
          </w:p>
        </w:tc>
        <w:tc>
          <w:tcPr>
            <w:tcW w:type="dxa" w:w="2556"/>
            <w:shd w:fill="2E7D32"/>
            <w:tcMar>
              <w:top w:w="80" w:type="dxa"/>
              <w:bottom w:w="80" w:type="dxa"/>
              <w:left w:w="100" w:type="dxa"/>
              <w:right w:w="100" w:type="dxa"/>
            </w:tcMar>
          </w:tcPr>
          <w:p>
            <w:pPr>
              <w:spacing w:after="0"/>
            </w:pPr>
            <w:r>
              <w:rPr>
                <w:b/>
                <w:color w:val="FFFFFF"/>
                <w:sz w:val="19"/>
              </w:rPr>
              <w:t>Best Fit</w:t>
            </w:r>
          </w:p>
        </w:tc>
      </w:tr>
      <w:tr>
        <w:tc>
          <w:tcPr>
            <w:tcW w:type="dxa" w:w="2556"/>
            <w:shd w:fill="FFFFFF"/>
            <w:tcMar>
              <w:top w:w="70" w:type="dxa"/>
              <w:bottom w:w="70" w:type="dxa"/>
              <w:left w:w="100" w:type="dxa"/>
              <w:right w:w="100" w:type="dxa"/>
            </w:tcMar>
          </w:tcPr>
          <w:p>
            <w:pPr>
              <w:spacing w:after="0"/>
            </w:pPr>
            <w:r>
              <w:rPr>
                <w:b/>
                <w:sz w:val="17"/>
              </w:rPr>
              <w:t>Turnkey Cellular (HappyOrNot / Ombea)</w:t>
            </w:r>
          </w:p>
        </w:tc>
        <w:tc>
          <w:tcPr>
            <w:tcW w:type="dxa" w:w="2556"/>
            <w:shd w:fill="FFFFFF"/>
            <w:tcMar>
              <w:top w:w="70" w:type="dxa"/>
              <w:bottom w:w="70" w:type="dxa"/>
              <w:left w:w="100" w:type="dxa"/>
              <w:right w:w="100" w:type="dxa"/>
            </w:tcMar>
          </w:tcPr>
          <w:p>
            <w:pPr>
              <w:spacing w:after="0"/>
            </w:pPr>
            <w:r>
              <w:rPr>
                <w:sz w:val="17"/>
              </w:rPr>
              <w:t>Freestanding kiosk with built-in SIM card; requires zero campus Wi-Fi setup.</w:t>
            </w:r>
          </w:p>
        </w:tc>
        <w:tc>
          <w:tcPr>
            <w:tcW w:type="dxa" w:w="2556"/>
            <w:shd w:fill="FFFFFF"/>
            <w:tcMar>
              <w:top w:w="70" w:type="dxa"/>
              <w:bottom w:w="70" w:type="dxa"/>
              <w:left w:w="100" w:type="dxa"/>
              <w:right w:w="100" w:type="dxa"/>
            </w:tcMar>
          </w:tcPr>
          <w:p>
            <w:pPr>
              <w:spacing w:after="0"/>
            </w:pPr>
            <w:r>
              <w:rPr>
                <w:sz w:val="17"/>
              </w:rPr>
              <w:t>~$100–$140/mo (HaaS)</w:t>
            </w:r>
          </w:p>
        </w:tc>
        <w:tc>
          <w:tcPr>
            <w:tcW w:type="dxa" w:w="2556"/>
            <w:shd w:fill="FFFFFF"/>
            <w:tcMar>
              <w:top w:w="70" w:type="dxa"/>
              <w:bottom w:w="70" w:type="dxa"/>
              <w:left w:w="100" w:type="dxa"/>
              <w:right w:w="100" w:type="dxa"/>
            </w:tcMar>
          </w:tcPr>
          <w:p>
            <w:pPr>
              <w:spacing w:after="0"/>
            </w:pPr>
            <w:r>
              <w:rPr>
                <w:sz w:val="17"/>
              </w:rPr>
              <w:t>Flagship pilot campus, zero IT friction</w:t>
            </w:r>
          </w:p>
        </w:tc>
      </w:tr>
      <w:tr>
        <w:tc>
          <w:tcPr>
            <w:tcW w:type="dxa" w:w="2556"/>
            <w:shd w:fill="F7FAF8"/>
            <w:tcMar>
              <w:top w:w="70" w:type="dxa"/>
              <w:bottom w:w="70" w:type="dxa"/>
              <w:left w:w="100" w:type="dxa"/>
              <w:right w:w="100" w:type="dxa"/>
            </w:tcMar>
          </w:tcPr>
          <w:p>
            <w:pPr>
              <w:spacing w:after="0"/>
            </w:pPr>
            <w:r>
              <w:rPr>
                <w:b/>
                <w:sz w:val="17"/>
              </w:rPr>
              <w:t>Managed iPad Kiosk (SurveyStance / Bouncepad)</w:t>
            </w:r>
          </w:p>
        </w:tc>
        <w:tc>
          <w:tcPr>
            <w:tcW w:type="dxa" w:w="2556"/>
            <w:shd w:fill="F7FAF8"/>
            <w:tcMar>
              <w:top w:w="70" w:type="dxa"/>
              <w:bottom w:w="70" w:type="dxa"/>
              <w:left w:w="100" w:type="dxa"/>
              <w:right w:w="100" w:type="dxa"/>
            </w:tcMar>
          </w:tcPr>
          <w:p>
            <w:pPr>
              <w:spacing w:after="0"/>
            </w:pPr>
            <w:r>
              <w:rPr>
                <w:sz w:val="17"/>
              </w:rPr>
              <w:t>Rugged anti-theft commercial stand + locked iPad running kiosk mode.</w:t>
            </w:r>
          </w:p>
        </w:tc>
        <w:tc>
          <w:tcPr>
            <w:tcW w:type="dxa" w:w="2556"/>
            <w:shd w:fill="F7FAF8"/>
            <w:tcMar>
              <w:top w:w="70" w:type="dxa"/>
              <w:bottom w:w="70" w:type="dxa"/>
              <w:left w:w="100" w:type="dxa"/>
              <w:right w:w="100" w:type="dxa"/>
            </w:tcMar>
          </w:tcPr>
          <w:p>
            <w:pPr>
              <w:spacing w:after="0"/>
            </w:pPr>
            <w:r>
              <w:rPr>
                <w:sz w:val="17"/>
              </w:rPr>
              <w:t>~$450 upfront + $39–$69/mo</w:t>
            </w:r>
          </w:p>
        </w:tc>
        <w:tc>
          <w:tcPr>
            <w:tcW w:type="dxa" w:w="2556"/>
            <w:shd w:fill="F7FAF8"/>
            <w:tcMar>
              <w:top w:w="70" w:type="dxa"/>
              <w:bottom w:w="70" w:type="dxa"/>
              <w:left w:w="100" w:type="dxa"/>
              <w:right w:w="100" w:type="dxa"/>
            </w:tcMar>
          </w:tcPr>
          <w:p>
            <w:pPr>
              <w:spacing w:after="0"/>
            </w:pPr>
            <w:r>
              <w:rPr>
                <w:sz w:val="17"/>
              </w:rPr>
              <w:t>Multi-campus expansion, budget flexibility</w:t>
            </w:r>
          </w:p>
        </w:tc>
      </w:tr>
      <w:tr>
        <w:tc>
          <w:tcPr>
            <w:tcW w:type="dxa" w:w="2556"/>
            <w:shd w:fill="FFFFFF"/>
            <w:tcMar>
              <w:top w:w="70" w:type="dxa"/>
              <w:bottom w:w="70" w:type="dxa"/>
              <w:left w:w="100" w:type="dxa"/>
              <w:right w:w="100" w:type="dxa"/>
            </w:tcMar>
          </w:tcPr>
          <w:p>
            <w:pPr>
              <w:spacing w:after="0"/>
            </w:pPr>
            <w:r>
              <w:rPr>
                <w:b/>
                <w:sz w:val="17"/>
              </w:rPr>
              <w:t>Custom IoT Pod (ESP32 / Open Hardware)</w:t>
            </w:r>
          </w:p>
        </w:tc>
        <w:tc>
          <w:tcPr>
            <w:tcW w:type="dxa" w:w="2556"/>
            <w:shd w:fill="FFFFFF"/>
            <w:tcMar>
              <w:top w:w="70" w:type="dxa"/>
              <w:bottom w:w="70" w:type="dxa"/>
              <w:left w:w="100" w:type="dxa"/>
              <w:right w:w="100" w:type="dxa"/>
            </w:tcMar>
          </w:tcPr>
          <w:p>
            <w:pPr>
              <w:spacing w:after="0"/>
            </w:pPr>
            <w:r>
              <w:rPr>
                <w:sz w:val="17"/>
              </w:rPr>
              <w:t>4 weather-sealed arcade buttons syncing via campus Wi-Fi to Firebase API.</w:t>
            </w:r>
          </w:p>
        </w:tc>
        <w:tc>
          <w:tcPr>
            <w:tcW w:type="dxa" w:w="2556"/>
            <w:shd w:fill="FFFFFF"/>
            <w:tcMar>
              <w:top w:w="70" w:type="dxa"/>
              <w:bottom w:w="70" w:type="dxa"/>
              <w:left w:w="100" w:type="dxa"/>
              <w:right w:w="100" w:type="dxa"/>
            </w:tcMar>
          </w:tcPr>
          <w:p>
            <w:pPr>
              <w:spacing w:after="0"/>
            </w:pPr>
            <w:r>
              <w:rPr>
                <w:sz w:val="17"/>
              </w:rPr>
              <w:t>~$120 upfront (no recurring)</w:t>
            </w:r>
          </w:p>
        </w:tc>
        <w:tc>
          <w:tcPr>
            <w:tcW w:type="dxa" w:w="2556"/>
            <w:shd w:fill="FFFFFF"/>
            <w:tcMar>
              <w:top w:w="70" w:type="dxa"/>
              <w:bottom w:w="70" w:type="dxa"/>
              <w:left w:w="100" w:type="dxa"/>
              <w:right w:w="100" w:type="dxa"/>
            </w:tcMar>
          </w:tcPr>
          <w:p>
            <w:pPr>
              <w:spacing w:after="0"/>
            </w:pPr>
            <w:r>
              <w:rPr>
                <w:sz w:val="17"/>
              </w:rPr>
              <w:t>Student STEM project / District scale</w:t>
            </w:r>
          </w:p>
        </w:tc>
      </w:tr>
    </w:tbl>
    <w:p>
      <w:pPr>
        <w:spacing w:after="80"/>
      </w:pPr>
    </w:p>
    <w:p>
      <w:pPr>
        <w:spacing w:before="80" w:after="0"/>
      </w:pPr>
      <w:r>
        <w:rPr>
          <w:b/>
          <w:color w:val="1B4D3E"/>
        </w:rPr>
        <w:t xml:space="preserve">Next Recommendation: </w:t>
      </w:r>
      <w:r>
        <w:rPr>
          <w:sz w:val="19"/>
        </w:rPr>
        <w:t>Initiate a single-unit pilot at a Donna ISD or Mercedes ISD campus to test student engagement during recess, connecting live data to the Cool Schools prototype.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