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0C4B33"/>
          <w:sz w:val="36"/>
        </w:rPr>
        <w:t>Training Session Facilitator Guide (Training #1)</w:t>
      </w:r>
    </w:p>
    <w:p>
      <w:r>
        <w:rPr>
          <w:i/>
          <w:color w:val="555555"/>
          <w:sz w:val="22"/>
        </w:rPr>
        <w:t>Cool Schools: Heat, Attendance &amp; Infrastructure Workshop</w:t>
        <w:br/>
        <w:t>Comprehensive Instructional Manual &amp; Facilitation Script for Donna ISD &amp; Mercedes ISD</w:t>
      </w:r>
    </w:p>
    <w:p>
      <w:pPr>
        <w:spacing w:after="80"/>
      </w:pPr>
    </w:p>
    <w:p>
      <w:r>
        <w:rPr>
          <w:b/>
          <w:color w:val="0C4B33"/>
          <w:sz w:val="26"/>
        </w:rPr>
        <w:t>1. Workshop Metadata &amp; Executive Overview</w:t>
      </w:r>
    </w:p>
    <w:tbl>
      <w:tblPr>
        <w:tblW w:type="auto" w:w="0"/>
        <w:tblLayout w:type="fixed"/>
        <w:tblLook w:firstColumn="1" w:firstRow="1" w:lastColumn="0" w:lastRow="0" w:noHBand="0" w:noVBand="1" w:val="04A0"/>
      </w:tblPr>
      <w:tblGrid>
        <w:gridCol w:w="3168"/>
        <w:gridCol w:w="6624"/>
      </w:tblGrid>
      <w:tr>
        <w:tc>
          <w:tcPr>
            <w:tcW w:type="dxa" w:w="4968"/>
            <w:shd w:val="clear" w:color="auto" w:fill="EBF3EE"/>
            <w:tcMar>
              <w:top w:w="80" w:type="dxa"/>
              <w:bottom w:w="80" w:type="dxa"/>
              <w:left w:w="100" w:type="dxa"/>
              <w:right w:w="100" w:type="dxa"/>
            </w:tcMar>
          </w:tcPr>
          <w:p>
            <w:r>
              <w:rPr>
                <w:b/>
                <w:color w:val="0C4B33"/>
                <w:sz w:val="19"/>
              </w:rPr>
              <w:t>Target Audience:</w:t>
            </w:r>
          </w:p>
        </w:tc>
        <w:tc>
          <w:tcPr>
            <w:tcW w:type="dxa" w:w="4968"/>
            <w:shd w:val="clear" w:color="auto" w:fill="FAFAFA"/>
            <w:tcMar>
              <w:top w:w="80" w:type="dxa"/>
              <w:bottom w:w="80" w:type="dxa"/>
              <w:left w:w="100" w:type="dxa"/>
              <w:right w:w="100" w:type="dxa"/>
            </w:tcMar>
          </w:tcPr>
          <w:p>
            <w:r>
              <w:rPr>
                <w:sz w:val="19"/>
              </w:rPr>
              <w:t>District Superintendents, Principals, Assistant Principals, Science Department Chairs, 3rd–5th Grade Lead Teachers, Facilities/Operations Directors</w:t>
            </w:r>
          </w:p>
        </w:tc>
      </w:tr>
      <w:tr>
        <w:tc>
          <w:tcPr>
            <w:tcW w:type="dxa" w:w="4968"/>
            <w:shd w:val="clear" w:color="auto" w:fill="EBF3EE"/>
            <w:tcMar>
              <w:top w:w="80" w:type="dxa"/>
              <w:bottom w:w="80" w:type="dxa"/>
              <w:left w:w="100" w:type="dxa"/>
              <w:right w:w="100" w:type="dxa"/>
            </w:tcMar>
          </w:tcPr>
          <w:p>
            <w:r>
              <w:rPr>
                <w:b/>
                <w:color w:val="0C4B33"/>
                <w:sz w:val="19"/>
              </w:rPr>
              <w:t>Duration &amp; Format:</w:t>
            </w:r>
          </w:p>
        </w:tc>
        <w:tc>
          <w:tcPr>
            <w:tcW w:type="dxa" w:w="4968"/>
            <w:shd w:val="clear" w:color="auto" w:fill="FAFAFA"/>
            <w:tcMar>
              <w:top w:w="80" w:type="dxa"/>
              <w:bottom w:w="80" w:type="dxa"/>
              <w:left w:w="100" w:type="dxa"/>
              <w:right w:w="100" w:type="dxa"/>
            </w:tcMar>
          </w:tcPr>
          <w:p>
            <w:r>
              <w:rPr>
                <w:sz w:val="19"/>
              </w:rPr>
              <w:t>45 – 60 Minutes | Available as In-Person Interactive Workshop or Virtual Webinar</w:t>
            </w:r>
          </w:p>
        </w:tc>
      </w:tr>
      <w:tr>
        <w:tc>
          <w:tcPr>
            <w:tcW w:type="dxa" w:w="4968"/>
            <w:shd w:val="clear" w:color="auto" w:fill="EBF3EE"/>
            <w:tcMar>
              <w:top w:w="80" w:type="dxa"/>
              <w:bottom w:w="80" w:type="dxa"/>
              <w:left w:w="100" w:type="dxa"/>
              <w:right w:w="100" w:type="dxa"/>
            </w:tcMar>
          </w:tcPr>
          <w:p>
            <w:r>
              <w:rPr>
                <w:b/>
                <w:color w:val="0C4B33"/>
                <w:sz w:val="19"/>
              </w:rPr>
              <w:t>Co-Facilitators:</w:t>
            </w:r>
          </w:p>
        </w:tc>
        <w:tc>
          <w:tcPr>
            <w:tcW w:type="dxa" w:w="4968"/>
            <w:shd w:val="clear" w:color="auto" w:fill="FAFAFA"/>
            <w:tcMar>
              <w:top w:w="80" w:type="dxa"/>
              <w:bottom w:w="80" w:type="dxa"/>
              <w:left w:w="100" w:type="dxa"/>
              <w:right w:w="100" w:type="dxa"/>
            </w:tcMar>
          </w:tcPr>
          <w:p>
            <w:r>
              <w:rPr>
                <w:sz w:val="19"/>
              </w:rPr>
              <w:t>Texas Trees Foundation Urban Forestry Leads &amp; UTRGV Agroecology Evaluation Team</w:t>
            </w:r>
          </w:p>
        </w:tc>
      </w:tr>
      <w:tr>
        <w:tc>
          <w:tcPr>
            <w:tcW w:type="dxa" w:w="4968"/>
            <w:shd w:val="clear" w:color="auto" w:fill="EBF3EE"/>
            <w:tcMar>
              <w:top w:w="80" w:type="dxa"/>
              <w:bottom w:w="80" w:type="dxa"/>
              <w:left w:w="100" w:type="dxa"/>
              <w:right w:w="100" w:type="dxa"/>
            </w:tcMar>
          </w:tcPr>
          <w:p>
            <w:r>
              <w:rPr>
                <w:b/>
                <w:color w:val="0C4B33"/>
                <w:sz w:val="19"/>
              </w:rPr>
              <w:t>Accompanying Materials:</w:t>
            </w:r>
          </w:p>
        </w:tc>
        <w:tc>
          <w:tcPr>
            <w:tcW w:type="dxa" w:w="4968"/>
            <w:shd w:val="clear" w:color="auto" w:fill="FAFAFA"/>
            <w:tcMar>
              <w:top w:w="80" w:type="dxa"/>
              <w:bottom w:w="80" w:type="dxa"/>
              <w:left w:w="100" w:type="dxa"/>
              <w:right w:w="100" w:type="dxa"/>
            </w:tcMar>
          </w:tcPr>
          <w:p>
            <w:r>
              <w:rPr>
                <w:sz w:val="19"/>
              </w:rPr>
              <w:t>1. Administrator Presentation Deck (Donna_ISD_Presentation_Slides.docx)</w:t>
              <w:br/>
              <w:t>2. Educator Outdoor Lab Handout ("The Great Campus Shade Hunt")</w:t>
              <w:br/>
              <w:t>3. Technical Assistance (TA) Log Schema</w:t>
              <w:br/>
              <w:t>4. Cool Schools Interactive Digital Dashboard (v1.2)</w:t>
            </w:r>
          </w:p>
        </w:tc>
      </w:tr>
      <w:tr>
        <w:tc>
          <w:tcPr>
            <w:tcW w:type="dxa" w:w="4968"/>
            <w:shd w:val="clear" w:color="auto" w:fill="EBF3EE"/>
            <w:tcMar>
              <w:top w:w="80" w:type="dxa"/>
              <w:bottom w:w="80" w:type="dxa"/>
              <w:left w:w="100" w:type="dxa"/>
              <w:right w:w="100" w:type="dxa"/>
            </w:tcMar>
          </w:tcPr>
          <w:p>
            <w:r>
              <w:rPr>
                <w:b/>
                <w:color w:val="0C4B33"/>
                <w:sz w:val="19"/>
              </w:rPr>
              <w:t>Primary Objectives:</w:t>
            </w:r>
          </w:p>
        </w:tc>
        <w:tc>
          <w:tcPr>
            <w:tcW w:type="dxa" w:w="4968"/>
            <w:shd w:val="clear" w:color="auto" w:fill="FAFAFA"/>
            <w:tcMar>
              <w:top w:w="80" w:type="dxa"/>
              <w:bottom w:w="80" w:type="dxa"/>
              <w:left w:w="100" w:type="dxa"/>
              <w:right w:w="100" w:type="dxa"/>
            </w:tcMar>
          </w:tcPr>
          <w:p>
            <w:r>
              <w:rPr>
                <w:sz w:val="19"/>
              </w:rPr>
              <w:t>1. Demonstrate empirical correlation between Hidalgo County extreme heat and Average Daily Attendance (ADA) funding loss.</w:t>
              <w:br/>
              <w:t>2. Reframe campus tree canopy as high-ROI public health and fiscal infrastructure.</w:t>
              <w:br/>
              <w:t>3. Train educators to implement the 45-minute outdoor microclimate science investigation.</w:t>
            </w:r>
          </w:p>
        </w:tc>
      </w:tr>
      <w:tr>
        <w:tc>
          <w:tcPr>
            <w:tcW w:type="dxa" w:w="4968"/>
            <w:shd w:val="clear" w:color="auto" w:fill="EBF3EE"/>
            <w:tcMar>
              <w:top w:w="80" w:type="dxa"/>
              <w:bottom w:w="80" w:type="dxa"/>
              <w:left w:w="100" w:type="dxa"/>
              <w:right w:w="100" w:type="dxa"/>
            </w:tcMar>
          </w:tcPr>
          <w:p>
            <w:r>
              <w:rPr>
                <w:b/>
                <w:color w:val="0C4B33"/>
                <w:sz w:val="19"/>
              </w:rPr>
              <w:t>Grant Compliance Alignment:</w:t>
            </w:r>
          </w:p>
        </w:tc>
        <w:tc>
          <w:tcPr>
            <w:tcW w:type="dxa" w:w="4968"/>
            <w:shd w:val="clear" w:color="auto" w:fill="FAFAFA"/>
            <w:tcMar>
              <w:top w:w="80" w:type="dxa"/>
              <w:bottom w:w="80" w:type="dxa"/>
              <w:left w:w="100" w:type="dxa"/>
              <w:right w:w="100" w:type="dxa"/>
            </w:tcMar>
          </w:tcPr>
          <w:p>
            <w:r>
              <w:rPr>
                <w:sz w:val="19"/>
              </w:rPr>
              <w:t>Texas A&amp;M Forest Service (TFS) Community Forestry Grants – Schoolyard Forests Program (Fulfills Deliverable B Training Progression &amp; Deliverable D Technical Assistance Framework)</w:t>
            </w:r>
          </w:p>
        </w:tc>
      </w:tr>
      <w:tr>
        <w:tc>
          <w:tcPr>
            <w:tcW w:type="dxa" w:w="4968"/>
            <w:shd w:val="clear" w:color="auto" w:fill="EBF3EE"/>
            <w:tcMar>
              <w:top w:w="80" w:type="dxa"/>
              <w:bottom w:w="80" w:type="dxa"/>
              <w:left w:w="100" w:type="dxa"/>
              <w:right w:w="100" w:type="dxa"/>
            </w:tcMar>
          </w:tcPr>
          <w:p>
            <w:r>
              <w:rPr>
                <w:b/>
                <w:color w:val="0C4B33"/>
                <w:sz w:val="19"/>
              </w:rPr>
              <w:t>Prerequisites / Setup:</w:t>
            </w:r>
          </w:p>
        </w:tc>
        <w:tc>
          <w:tcPr>
            <w:tcW w:type="dxa" w:w="4968"/>
            <w:shd w:val="clear" w:color="auto" w:fill="FAFAFA"/>
            <w:tcMar>
              <w:top w:w="80" w:type="dxa"/>
              <w:bottom w:w="80" w:type="dxa"/>
              <w:left w:w="100" w:type="dxa"/>
              <w:right w:w="100" w:type="dxa"/>
            </w:tcMar>
          </w:tcPr>
          <w:p>
            <w:r>
              <w:rPr>
                <w:sz w:val="19"/>
              </w:rPr>
              <w:t>Projector/Display screen, Web browser with Internet access for live dashboard navigation, Sample Teacher Lab Toolkit (Infrared thermometer + DBH tape)</w:t>
            </w:r>
          </w:p>
        </w:tc>
      </w:tr>
    </w:tbl>
    <w:p>
      <w:pPr>
        <w:spacing w:after="160"/>
      </w:pPr>
    </w:p>
    <w:p>
      <w:r>
        <w:rPr>
          <w:b/>
          <w:color w:val="0C4B33"/>
          <w:sz w:val="26"/>
        </w:rPr>
        <w:t>2. Facilitator Pre-Session Preparation Checklist</w:t>
      </w:r>
    </w:p>
    <w:p>
      <w:pPr>
        <w:pStyle w:val="ListBullet"/>
        <w:spacing w:after="40"/>
      </w:pPr>
      <w:r>
        <w:t>T-minus 7 Days: Verify attendee roster with district lead (ensure representation from both Campus Administration and Science Instructional Coaches).</w:t>
      </w:r>
    </w:p>
    <w:p>
      <w:pPr>
        <w:pStyle w:val="ListBullet"/>
        <w:spacing w:after="40"/>
      </w:pPr>
      <w:r>
        <w:t>T-minus 3 Days: Pre-load and test local campus URLs in the Cool Schools Dashboard (e.g., donna_rivas.html, donna_jw_caceres.html, mercedes_chacon.html) to ensure map tiles and thermal layers render seamlessly.</w:t>
      </w:r>
    </w:p>
    <w:p>
      <w:pPr>
        <w:pStyle w:val="ListBullet"/>
        <w:spacing w:after="40"/>
      </w:pPr>
      <w:r>
        <w:t>T-minus 1 Day: Print physical copies of the Educator Outdoor Lab Handout ("The Great Campus Shade Hunt") and the 1-page Campus Shade Satisfaction Kiosk summary.</w:t>
      </w:r>
    </w:p>
    <w:p>
      <w:pPr>
        <w:pStyle w:val="ListBullet"/>
        <w:spacing w:after="40"/>
      </w:pPr>
      <w:r>
        <w:t>T-minus 30 Minutes: Calibrate the physical demonstration toolkit (2x handheld Infrared Laser Thermometers, 1x DBH Caliper Tape, 1x standard 50ft measuring tape).</w:t>
      </w:r>
    </w:p>
    <w:p>
      <w:pPr>
        <w:pStyle w:val="ListBullet"/>
        <w:spacing w:after="40"/>
      </w:pPr>
      <w:r>
        <w:t>T-minus 10 Minutes: Test projector display resolution (1920x1080 recommended) and verify audio/mic for virtual hybrid attendees.</w:t>
      </w:r>
    </w:p>
    <w:p>
      <w:pPr>
        <w:spacing w:after="160"/>
      </w:pPr>
    </w:p>
    <w:p>
      <w:r>
        <w:rPr>
          <w:b/>
          <w:color w:val="0C4B33"/>
          <w:sz w:val="26"/>
        </w:rPr>
        <w:t>3. Step-by-Step Run of Show &amp; Verbatim Facilitation Script</w:t>
      </w:r>
    </w:p>
    <w:p>
      <w:r>
        <w:rPr>
          <w:b/>
          <w:color w:val="0C4B33"/>
          <w:sz w:val="22"/>
        </w:rPr>
        <w:t xml:space="preserve">[00:00 – 08:00 (8 Mins)] </w:t>
      </w:r>
      <w:r>
        <w:rPr>
          <w:b/>
          <w:sz w:val="22"/>
        </w:rPr>
        <w:t>Module 1: Welcome, Framing &amp; The Rio Grande Valley Climate Reality</w:t>
      </w:r>
    </w:p>
    <w:tbl>
      <w:tblPr>
        <w:tblW w:type="auto" w:w="0"/>
        <w:tblLayout w:type="fixed"/>
        <w:tblLook w:firstColumn="1" w:firstRow="1" w:lastColumn="0" w:lastRow="0" w:noHBand="0" w:noVBand="1" w:val="04A0"/>
      </w:tblPr>
      <w:tblGrid>
        <w:gridCol w:w="2016"/>
        <w:gridCol w:w="7776"/>
      </w:tblGrid>
      <w:tr>
        <w:tc>
          <w:tcPr>
            <w:tcW w:type="dxa" w:w="4968"/>
            <w:shd w:val="clear" w:color="auto" w:fill="EBF3EE"/>
            <w:tcMar>
              <w:top w:w="60" w:type="dxa"/>
              <w:bottom w:w="60" w:type="dxa"/>
              <w:left w:w="80" w:type="dxa"/>
              <w:right w:w="80" w:type="dxa"/>
            </w:tcMar>
          </w:tcPr>
          <w:p>
            <w:r>
              <w:rPr>
                <w:b/>
                <w:sz w:val="18"/>
              </w:rPr>
              <w:t>Slide &amp; Focus:</w:t>
            </w:r>
          </w:p>
        </w:tc>
        <w:tc>
          <w:tcPr>
            <w:tcW w:type="dxa" w:w="4968"/>
            <w:shd w:val="clear" w:color="auto" w:fill="FFFFFF"/>
            <w:tcMar>
              <w:top w:w="60" w:type="dxa"/>
              <w:bottom w:w="60" w:type="dxa"/>
              <w:left w:w="80" w:type="dxa"/>
              <w:right w:w="80" w:type="dxa"/>
            </w:tcMar>
          </w:tcPr>
          <w:p>
            <w:r>
              <w:rPr>
                <w:sz w:val="18"/>
              </w:rPr>
              <w:t>Slides 1 – 3 | Acknowledge district leadership, establish a supportive pair-programming tone, and confront the brutal summer heat statistics of Hidalgo County.</w:t>
            </w:r>
          </w:p>
        </w:tc>
      </w:tr>
      <w:tr>
        <w:tc>
          <w:tcPr>
            <w:tcW w:type="dxa" w:w="4968"/>
            <w:shd w:val="clear" w:color="auto" w:fill="EBF3EE"/>
            <w:tcMar>
              <w:top w:w="60" w:type="dxa"/>
              <w:bottom w:w="60" w:type="dxa"/>
              <w:left w:w="80" w:type="dxa"/>
              <w:right w:w="80" w:type="dxa"/>
            </w:tcMar>
          </w:tcPr>
          <w:p>
            <w:r>
              <w:rPr>
                <w:b/>
                <w:sz w:val="18"/>
              </w:rPr>
              <w:t>Facilitator Action:</w:t>
            </w:r>
          </w:p>
        </w:tc>
        <w:tc>
          <w:tcPr>
            <w:tcW w:type="dxa" w:w="4968"/>
            <w:shd w:val="clear" w:color="auto" w:fill="FFFFFF"/>
            <w:tcMar>
              <w:top w:w="60" w:type="dxa"/>
              <w:bottom w:w="60" w:type="dxa"/>
              <w:left w:w="80" w:type="dxa"/>
              <w:right w:w="80" w:type="dxa"/>
            </w:tcMar>
          </w:tcPr>
          <w:p>
            <w:r>
              <w:rPr>
                <w:sz w:val="18"/>
              </w:rPr>
              <w:t>Project Slide 1, transition to Slide 3 (Heat Index calendar). Distribute meeting agenda and ask for a quick show of hands: "How many of you had bus route delays or playground heat restrictions during the first 2 weeks of August?"</w:t>
            </w:r>
          </w:p>
        </w:tc>
      </w:tr>
    </w:tbl>
    <w:p>
      <w:pPr>
        <w:spacing w:after="40"/>
      </w:pPr>
    </w:p>
    <w:tbl>
      <w:tblPr>
        <w:tblW w:type="auto" w:w="0"/>
        <w:tblLayout w:type="fixed"/>
        <w:tblLook w:firstColumn="1" w:firstRow="1" w:lastColumn="0" w:lastRow="0" w:noHBand="0" w:noVBand="1" w:val="04A0"/>
      </w:tblPr>
      <w:tblGrid>
        <w:gridCol w:w="9792"/>
      </w:tblGrid>
      <w:tr>
        <w:tc>
          <w:tcPr>
            <w:tcW w:type="dxa" w:w="9936"/>
            <w:shd w:val="clear" w:color="auto" w:fill="F5F9F6"/>
            <w:tcMar>
              <w:top w:w="80" w:type="dxa"/>
              <w:bottom w:w="80" w:type="dxa"/>
              <w:left w:w="120" w:type="dxa"/>
              <w:right w:w="120" w:type="dxa"/>
            </w:tcMar>
          </w:tcPr>
          <w:p>
            <w:r>
              <w:rPr>
                <w:b/>
                <w:color w:val="0C4B33"/>
                <w:sz w:val="19"/>
              </w:rPr>
              <w:t>Verbatim Facilitator Script:</w:t>
              <w:br/>
            </w:r>
            <w:r>
              <w:rPr>
                <w:i/>
                <w:sz w:val="19"/>
              </w:rPr>
              <w:t>Good morning, leadership and science educators of Donna and Mercedes ISD. Today, Texas Trees Foundation and UTRGV are presenting a data-backed evaluation of a challenge every educator in this room feels every single August: extreme heat.</w:t>
              <w:br/>
              <w:br/>
              <w:t>In 2023 alone, Hidalgo County triggered over 45 official National Weather Service Heat Advisories, where humidity pushed the heat index beyond 111°F. When our ambient temperature hits 98°F with 70% humidity, our schoolyards become high-risk thermal environments. Today, we are connecting the dots between this climate reality, student health, and your district’s bottom line.</w:t>
            </w:r>
          </w:p>
        </w:tc>
      </w:tr>
    </w:tbl>
    <w:p>
      <w:pPr>
        <w:spacing w:after="160"/>
      </w:pPr>
    </w:p>
    <w:p>
      <w:r>
        <w:rPr>
          <w:b/>
          <w:color w:val="0C4B33"/>
          <w:sz w:val="22"/>
        </w:rPr>
        <w:t xml:space="preserve">[08:00 – 18:00 (10 Mins)] </w:t>
      </w:r>
      <w:r>
        <w:rPr>
          <w:b/>
          <w:sz w:val="22"/>
        </w:rPr>
        <w:t>Module 2: The Triple Crisis — Cognitive Decay, Pediatric Health &amp; The .97M ADA Cliff</w:t>
      </w:r>
    </w:p>
    <w:tbl>
      <w:tblPr>
        <w:tblW w:type="auto" w:w="0"/>
        <w:tblLayout w:type="fixed"/>
        <w:tblLook w:firstColumn="1" w:firstRow="1" w:lastColumn="0" w:lastRow="0" w:noHBand="0" w:noVBand="1" w:val="04A0"/>
      </w:tblPr>
      <w:tblGrid>
        <w:gridCol w:w="2016"/>
        <w:gridCol w:w="7776"/>
      </w:tblGrid>
      <w:tr>
        <w:tc>
          <w:tcPr>
            <w:tcW w:type="dxa" w:w="4968"/>
            <w:shd w:val="clear" w:color="auto" w:fill="EBF3EE"/>
            <w:tcMar>
              <w:top w:w="60" w:type="dxa"/>
              <w:bottom w:w="60" w:type="dxa"/>
              <w:left w:w="80" w:type="dxa"/>
              <w:right w:w="80" w:type="dxa"/>
            </w:tcMar>
          </w:tcPr>
          <w:p>
            <w:r>
              <w:rPr>
                <w:b/>
                <w:sz w:val="18"/>
              </w:rPr>
              <w:t>Slide &amp; Focus:</w:t>
            </w:r>
          </w:p>
        </w:tc>
        <w:tc>
          <w:tcPr>
            <w:tcW w:type="dxa" w:w="4968"/>
            <w:shd w:val="clear" w:color="auto" w:fill="FFFFFF"/>
            <w:tcMar>
              <w:top w:w="60" w:type="dxa"/>
              <w:bottom w:w="60" w:type="dxa"/>
              <w:left w:w="80" w:type="dxa"/>
              <w:right w:w="80" w:type="dxa"/>
            </w:tcMar>
          </w:tcPr>
          <w:p>
            <w:r>
              <w:rPr>
                <w:sz w:val="18"/>
              </w:rPr>
              <w:t>Slides 4 – 8 | Present peer-reviewed research linking unmitigated heat to learning loss, pediatric asthma surges, and the fiscal mechanics of Texas Average Daily Attendance (ADA) funding.</w:t>
            </w:r>
          </w:p>
        </w:tc>
      </w:tr>
      <w:tr>
        <w:tc>
          <w:tcPr>
            <w:tcW w:type="dxa" w:w="4968"/>
            <w:shd w:val="clear" w:color="auto" w:fill="EBF3EE"/>
            <w:tcMar>
              <w:top w:w="60" w:type="dxa"/>
              <w:bottom w:w="60" w:type="dxa"/>
              <w:left w:w="80" w:type="dxa"/>
              <w:right w:w="80" w:type="dxa"/>
            </w:tcMar>
          </w:tcPr>
          <w:p>
            <w:r>
              <w:rPr>
                <w:b/>
                <w:sz w:val="18"/>
              </w:rPr>
              <w:t>Facilitator Action:</w:t>
            </w:r>
          </w:p>
        </w:tc>
        <w:tc>
          <w:tcPr>
            <w:tcW w:type="dxa" w:w="4968"/>
            <w:shd w:val="clear" w:color="auto" w:fill="FFFFFF"/>
            <w:tcMar>
              <w:top w:w="60" w:type="dxa"/>
              <w:bottom w:w="60" w:type="dxa"/>
              <w:left w:w="80" w:type="dxa"/>
              <w:right w:w="80" w:type="dxa"/>
            </w:tcMar>
          </w:tcPr>
          <w:p>
            <w:r>
              <w:rPr>
                <w:sz w:val="18"/>
              </w:rPr>
              <w:t>Project Slide 4 (Park et al. learning decay curve), Slide 5 (Pediatric health), Slide 6 (ADA table), and Slide 8 (Mercedes ISD case study). Walk through the .22/day/student funding formula.</w:t>
            </w:r>
          </w:p>
        </w:tc>
      </w:tr>
    </w:tbl>
    <w:p>
      <w:pPr>
        <w:spacing w:after="40"/>
      </w:pPr>
    </w:p>
    <w:tbl>
      <w:tblPr>
        <w:tblW w:type="auto" w:w="0"/>
        <w:tblLayout w:type="fixed"/>
        <w:tblLook w:firstColumn="1" w:firstRow="1" w:lastColumn="0" w:lastRow="0" w:noHBand="0" w:noVBand="1" w:val="04A0"/>
      </w:tblPr>
      <w:tblGrid>
        <w:gridCol w:w="9792"/>
      </w:tblGrid>
      <w:tr>
        <w:tc>
          <w:tcPr>
            <w:tcW w:type="dxa" w:w="9936"/>
            <w:shd w:val="clear" w:color="auto" w:fill="F5F9F6"/>
            <w:tcMar>
              <w:top w:w="80" w:type="dxa"/>
              <w:bottom w:w="80" w:type="dxa"/>
              <w:left w:w="120" w:type="dxa"/>
              <w:right w:w="120" w:type="dxa"/>
            </w:tcMar>
          </w:tcPr>
          <w:p>
            <w:r>
              <w:rPr>
                <w:b/>
                <w:color w:val="0C4B33"/>
                <w:sz w:val="19"/>
              </w:rPr>
              <w:t>Verbatim Facilitator Script:</w:t>
              <w:br/>
            </w:r>
            <w:r>
              <w:rPr>
                <w:i/>
                <w:sz w:val="19"/>
              </w:rPr>
              <w:t>Let’s look at what the academic research tells us. A landmark study published in the American Economic Journal by Park and colleagues evaluated 10 million standardized test scores and proved that without thermal mitigation, every 1°F increase in average temperature reduces learning retention by 1%. The hardest hit subjects are mathematics and complex reasoning.</w:t>
              <w:br/>
              <w:br/>
              <w:t>Simultaneously, Texas medical data published in Academic Pediatrics shows a 170% surge in pediatric emergency room visits for heat exhaustion, where heat catalyses ground-level ozone smog and triggers acute asthma attacks.</w:t>
              <w:br/>
              <w:br/>
              <w:t>Now, look at the financial consequence on Slide 6: Texas public schools are funded on Average Daily Attendance (ADA), not enrollment. In Donna ISD, the state basic allotment equals exactly .22 per student per day. If extreme heat causes a 5% dip in attendance during August and September across your 12,900 students, the district loses ,138 every single day—totaling nearly  million across the school year.</w:t>
              <w:br/>
              <w:br/>
              <w:t>We saw this happen in Mercedes ISD last August, where losing 281 students to heat-correlated illness in the first 13 days forced an emergency campus consolidation. Extreme heat is an operational and financial crisis.</w:t>
            </w:r>
          </w:p>
        </w:tc>
      </w:tr>
    </w:tbl>
    <w:p>
      <w:pPr>
        <w:spacing w:after="160"/>
      </w:pPr>
    </w:p>
    <w:p>
      <w:r>
        <w:rPr>
          <w:b/>
          <w:color w:val="0C4B33"/>
          <w:sz w:val="22"/>
        </w:rPr>
        <w:t xml:space="preserve">[18:00 – 28:00 (10 Mins)] </w:t>
      </w:r>
      <w:r>
        <w:rPr>
          <w:b/>
          <w:sz w:val="22"/>
        </w:rPr>
        <w:t>Module 3: Living Infrastructure — Satellite Thermal Imagery &amp; Economic Payback</w:t>
      </w:r>
    </w:p>
    <w:tbl>
      <w:tblPr>
        <w:tblW w:type="auto" w:w="0"/>
        <w:tblLayout w:type="fixed"/>
        <w:tblLook w:firstColumn="1" w:firstRow="1" w:lastColumn="0" w:lastRow="0" w:noHBand="0" w:noVBand="1" w:val="04A0"/>
      </w:tblPr>
      <w:tblGrid>
        <w:gridCol w:w="2016"/>
        <w:gridCol w:w="7776"/>
      </w:tblGrid>
      <w:tr>
        <w:tc>
          <w:tcPr>
            <w:tcW w:type="dxa" w:w="4968"/>
            <w:shd w:val="clear" w:color="auto" w:fill="EBF3EE"/>
            <w:tcMar>
              <w:top w:w="60" w:type="dxa"/>
              <w:bottom w:w="60" w:type="dxa"/>
              <w:left w:w="80" w:type="dxa"/>
              <w:right w:w="80" w:type="dxa"/>
            </w:tcMar>
          </w:tcPr>
          <w:p>
            <w:r>
              <w:rPr>
                <w:b/>
                <w:sz w:val="18"/>
              </w:rPr>
              <w:t>Slide &amp; Focus:</w:t>
            </w:r>
          </w:p>
        </w:tc>
        <w:tc>
          <w:tcPr>
            <w:tcW w:type="dxa" w:w="4968"/>
            <w:shd w:val="clear" w:color="auto" w:fill="FFFFFF"/>
            <w:tcMar>
              <w:top w:w="60" w:type="dxa"/>
              <w:bottom w:w="60" w:type="dxa"/>
              <w:left w:w="80" w:type="dxa"/>
              <w:right w:w="80" w:type="dxa"/>
            </w:tcMar>
          </w:tcPr>
          <w:p>
            <w:r>
              <w:rPr>
                <w:sz w:val="18"/>
              </w:rPr>
              <w:t>Slides 9 – 14 | Prove how tree canopies physically drop surface temperatures by up to 45°F, explain bus HVAC limitations, and show that canopy infrastructure pays for itself in 1–2 years.</w:t>
            </w:r>
          </w:p>
        </w:tc>
      </w:tr>
      <w:tr>
        <w:tc>
          <w:tcPr>
            <w:tcW w:type="dxa" w:w="4968"/>
            <w:shd w:val="clear" w:color="auto" w:fill="EBF3EE"/>
            <w:tcMar>
              <w:top w:w="60" w:type="dxa"/>
              <w:bottom w:w="60" w:type="dxa"/>
              <w:left w:w="80" w:type="dxa"/>
              <w:right w:w="80" w:type="dxa"/>
            </w:tcMar>
          </w:tcPr>
          <w:p>
            <w:r>
              <w:rPr>
                <w:b/>
                <w:sz w:val="18"/>
              </w:rPr>
              <w:t>Facilitator Action:</w:t>
            </w:r>
          </w:p>
        </w:tc>
        <w:tc>
          <w:tcPr>
            <w:tcW w:type="dxa" w:w="4968"/>
            <w:shd w:val="clear" w:color="auto" w:fill="FFFFFF"/>
            <w:tcMar>
              <w:top w:w="60" w:type="dxa"/>
              <w:bottom w:w="60" w:type="dxa"/>
              <w:left w:w="80" w:type="dxa"/>
              <w:right w:w="80" w:type="dxa"/>
            </w:tcMar>
          </w:tcPr>
          <w:p>
            <w:r>
              <w:rPr>
                <w:sz w:val="18"/>
              </w:rPr>
              <w:t>Project Slide 9 (Bus thermal limits), Slide 11 (Satellite thermal gradient), and Slide 13 (Infrastructure ROI). Hold up an infrared laser thermometer and explain thermal emissivity.</w:t>
            </w:r>
          </w:p>
        </w:tc>
      </w:tr>
    </w:tbl>
    <w:p>
      <w:pPr>
        <w:spacing w:after="40"/>
      </w:pPr>
    </w:p>
    <w:tbl>
      <w:tblPr>
        <w:tblW w:type="auto" w:w="0"/>
        <w:tblLayout w:type="fixed"/>
        <w:tblLook w:firstColumn="1" w:firstRow="1" w:lastColumn="0" w:lastRow="0" w:noHBand="0" w:noVBand="1" w:val="04A0"/>
      </w:tblPr>
      <w:tblGrid>
        <w:gridCol w:w="9792"/>
      </w:tblGrid>
      <w:tr>
        <w:tc>
          <w:tcPr>
            <w:tcW w:type="dxa" w:w="9936"/>
            <w:shd w:val="clear" w:color="auto" w:fill="F5F9F6"/>
            <w:tcMar>
              <w:top w:w="80" w:type="dxa"/>
              <w:bottom w:w="80" w:type="dxa"/>
              <w:left w:w="120" w:type="dxa"/>
              <w:right w:w="120" w:type="dxa"/>
            </w:tcMar>
          </w:tcPr>
          <w:p>
            <w:r>
              <w:rPr>
                <w:b/>
                <w:color w:val="0C4B33"/>
                <w:sz w:val="19"/>
              </w:rPr>
              <w:t>Verbatim Facilitator Script:</w:t>
              <w:br/>
            </w:r>
            <w:r>
              <w:rPr>
                <w:i/>
                <w:sz w:val="19"/>
              </w:rPr>
              <w:t>Tree canopy is not decorative landscaping; it is high-performance civil infrastructure. School bus AC units are thermodynamically capped at a 20°F differential—meaning when it is 108°F outside, the bus interior is still 88°F. Students arrive at school pre-exhausted.</w:t>
              <w:br/>
              <w:br/>
              <w:t>On Slide 11, satellite remote sensing shows that unshaded asphalt in school parking lots hits 165°F—hot enough to cause second-degree contact burns in seconds. But directly underneath a mature tree canopy, that surface temperature drops to 105°F—a 45-degree cooling benefit.</w:t>
              <w:br/>
              <w:br/>
              <w:t>American Forests rates Donna with a Tree Equity score of 71, requiring 15,739 new trees. Planting targeted shade in bus drop-off loops and playgrounds costs a fraction of building new brick-and-mortar shade structures, and by preserving just 1% to 2% of your ADA attendance, the canopy infrastructure pays for its entire capital cost within 1 to 2 years.</w:t>
            </w:r>
          </w:p>
        </w:tc>
      </w:tr>
    </w:tbl>
    <w:p>
      <w:pPr>
        <w:spacing w:after="160"/>
      </w:pPr>
    </w:p>
    <w:p>
      <w:r>
        <w:rPr>
          <w:b/>
          <w:color w:val="0C4B33"/>
          <w:sz w:val="22"/>
        </w:rPr>
        <w:t xml:space="preserve">[28:00 – 40:00 (12 Mins)] </w:t>
      </w:r>
      <w:r>
        <w:rPr>
          <w:b/>
          <w:sz w:val="22"/>
        </w:rPr>
        <w:t>Module 4: Live Interactive Dashboard Demo &amp; Teacher Outdoor Lab Training</w:t>
      </w:r>
    </w:p>
    <w:tbl>
      <w:tblPr>
        <w:tblW w:type="auto" w:w="0"/>
        <w:tblLayout w:type="fixed"/>
        <w:tblLook w:firstColumn="1" w:firstRow="1" w:lastColumn="0" w:lastRow="0" w:noHBand="0" w:noVBand="1" w:val="04A0"/>
      </w:tblPr>
      <w:tblGrid>
        <w:gridCol w:w="2016"/>
        <w:gridCol w:w="7776"/>
      </w:tblGrid>
      <w:tr>
        <w:tc>
          <w:tcPr>
            <w:tcW w:type="dxa" w:w="4968"/>
            <w:shd w:val="clear" w:color="auto" w:fill="EBF3EE"/>
            <w:tcMar>
              <w:top w:w="60" w:type="dxa"/>
              <w:bottom w:w="60" w:type="dxa"/>
              <w:left w:w="80" w:type="dxa"/>
              <w:right w:w="80" w:type="dxa"/>
            </w:tcMar>
          </w:tcPr>
          <w:p>
            <w:r>
              <w:rPr>
                <w:b/>
                <w:sz w:val="18"/>
              </w:rPr>
              <w:t>Slide &amp; Focus:</w:t>
            </w:r>
          </w:p>
        </w:tc>
        <w:tc>
          <w:tcPr>
            <w:tcW w:type="dxa" w:w="4968"/>
            <w:shd w:val="clear" w:color="auto" w:fill="FFFFFF"/>
            <w:tcMar>
              <w:top w:w="60" w:type="dxa"/>
              <w:bottom w:w="60" w:type="dxa"/>
              <w:left w:w="80" w:type="dxa"/>
              <w:right w:w="80" w:type="dxa"/>
            </w:tcMar>
          </w:tcPr>
          <w:p>
            <w:r>
              <w:rPr>
                <w:sz w:val="18"/>
              </w:rPr>
              <w:t>Hands-on Web Demo &amp; Handout Review | Walk through the live Cool Schools Dashboard (v1.2), showcase campus-specific maps, and guide teachers through executing "The Great Campus Shade Hunt" outdoor lab.</w:t>
            </w:r>
          </w:p>
        </w:tc>
      </w:tr>
      <w:tr>
        <w:tc>
          <w:tcPr>
            <w:tcW w:type="dxa" w:w="4968"/>
            <w:shd w:val="clear" w:color="auto" w:fill="EBF3EE"/>
            <w:tcMar>
              <w:top w:w="60" w:type="dxa"/>
              <w:bottom w:w="60" w:type="dxa"/>
              <w:left w:w="80" w:type="dxa"/>
              <w:right w:w="80" w:type="dxa"/>
            </w:tcMar>
          </w:tcPr>
          <w:p>
            <w:r>
              <w:rPr>
                <w:b/>
                <w:sz w:val="18"/>
              </w:rPr>
              <w:t>Facilitator Action:</w:t>
            </w:r>
          </w:p>
        </w:tc>
        <w:tc>
          <w:tcPr>
            <w:tcW w:type="dxa" w:w="4968"/>
            <w:shd w:val="clear" w:color="auto" w:fill="FFFFFF"/>
            <w:tcMar>
              <w:top w:w="60" w:type="dxa"/>
              <w:bottom w:w="60" w:type="dxa"/>
              <w:left w:w="80" w:type="dxa"/>
              <w:right w:w="80" w:type="dxa"/>
            </w:tcMar>
          </w:tcPr>
          <w:p>
            <w:r>
              <w:rPr>
                <w:sz w:val="18"/>
              </w:rPr>
              <w:t>Switch display to web browser. Open donna_rivas.html and teks_lesson_plans.html. Distribute the printed Educator Outdoor Lab Handout to all attendees. Demonstrate how to take an IR surface reading.</w:t>
            </w:r>
          </w:p>
        </w:tc>
      </w:tr>
    </w:tbl>
    <w:p>
      <w:pPr>
        <w:spacing w:after="40"/>
      </w:pPr>
    </w:p>
    <w:tbl>
      <w:tblPr>
        <w:tblW w:type="auto" w:w="0"/>
        <w:tblLayout w:type="fixed"/>
        <w:tblLook w:firstColumn="1" w:firstRow="1" w:lastColumn="0" w:lastRow="0" w:noHBand="0" w:noVBand="1" w:val="04A0"/>
      </w:tblPr>
      <w:tblGrid>
        <w:gridCol w:w="9792"/>
      </w:tblGrid>
      <w:tr>
        <w:tc>
          <w:tcPr>
            <w:tcW w:type="dxa" w:w="9936"/>
            <w:shd w:val="clear" w:color="auto" w:fill="F5F9F6"/>
            <w:tcMar>
              <w:top w:w="80" w:type="dxa"/>
              <w:bottom w:w="80" w:type="dxa"/>
              <w:left w:w="120" w:type="dxa"/>
              <w:right w:w="120" w:type="dxa"/>
            </w:tcMar>
          </w:tcPr>
          <w:p>
            <w:r>
              <w:rPr>
                <w:b/>
                <w:color w:val="0C4B33"/>
                <w:sz w:val="19"/>
              </w:rPr>
              <w:t>Verbatim Facilitator Script:</w:t>
              <w:br/>
            </w:r>
            <w:r>
              <w:rPr>
                <w:i/>
                <w:sz w:val="19"/>
              </w:rPr>
              <w:t>Now let’s transition to the practical classroom tools we built for your teachers. Open your Educator Outdoor Lab Handout on your tables, titled "The Great Campus Shade Hunt."</w:t>
              <w:br/>
              <w:br/>
              <w:t>This 45-minute lesson directly fulfills Texas Science TEKS §112.14 through §112.16 for Grades 3 through 5. It requires zero extra grading. Here is how it works in 3 simple steps:</w:t>
              <w:br/>
              <w:br/>
              <w:t>Step 1: The Thermal Hunt. Teachers take students outside with simple handheld infrared thermometers. Students record the surface temperature across 4 zones: the blacktop court, the grass field, under the tree canopy, and the playground turf. Students then calculate the cooling math: Sunny Blacktop minus Tree Shade equals the Cooling Benefit.</w:t>
              <w:br/>
              <w:br/>
              <w:t>Step 2: Tree Stewardship. Students measure trunk circumference (DBH) using caliper tape, pace out the shade canopy, and log wildlife.</w:t>
              <w:br/>
              <w:br/>
              <w:t>Step 3: Campus Aggregation. Teachers log into our password-protected portal at teks_lesson_plans.html and enter their class totals. In compliance with FERPA and COPPA, zero student personal data is ever collected—everything is aggregated at the campus level to update your school’s live Cool Schools Dashboard.</w:t>
            </w:r>
          </w:p>
        </w:tc>
      </w:tr>
    </w:tbl>
    <w:p>
      <w:pPr>
        <w:spacing w:after="160"/>
      </w:pPr>
    </w:p>
    <w:p>
      <w:r>
        <w:rPr>
          <w:b/>
          <w:color w:val="0C4B33"/>
          <w:sz w:val="22"/>
        </w:rPr>
        <w:t xml:space="preserve">[40:00 – 50:00 (10 Mins)] </w:t>
      </w:r>
      <w:r>
        <w:rPr>
          <w:b/>
          <w:sz w:val="22"/>
        </w:rPr>
        <w:t>Module 5: Technical Assistance (TA) Log, Grant Compliance &amp; District Q&amp;A</w:t>
      </w:r>
    </w:p>
    <w:tbl>
      <w:tblPr>
        <w:tblW w:type="auto" w:w="0"/>
        <w:tblLayout w:type="fixed"/>
        <w:tblLook w:firstColumn="1" w:firstRow="1" w:lastColumn="0" w:lastRow="0" w:noHBand="0" w:noVBand="1" w:val="04A0"/>
      </w:tblPr>
      <w:tblGrid>
        <w:gridCol w:w="2016"/>
        <w:gridCol w:w="7776"/>
      </w:tblGrid>
      <w:tr>
        <w:tc>
          <w:tcPr>
            <w:tcW w:type="dxa" w:w="4968"/>
            <w:shd w:val="clear" w:color="auto" w:fill="EBF3EE"/>
            <w:tcMar>
              <w:top w:w="60" w:type="dxa"/>
              <w:bottom w:w="60" w:type="dxa"/>
              <w:left w:w="80" w:type="dxa"/>
              <w:right w:w="80" w:type="dxa"/>
            </w:tcMar>
          </w:tcPr>
          <w:p>
            <w:r>
              <w:rPr>
                <w:b/>
                <w:sz w:val="18"/>
              </w:rPr>
              <w:t>Slide &amp; Focus:</w:t>
            </w:r>
          </w:p>
        </w:tc>
        <w:tc>
          <w:tcPr>
            <w:tcW w:type="dxa" w:w="4968"/>
            <w:shd w:val="clear" w:color="auto" w:fill="FFFFFF"/>
            <w:tcMar>
              <w:top w:w="60" w:type="dxa"/>
              <w:bottom w:w="60" w:type="dxa"/>
              <w:left w:w="80" w:type="dxa"/>
              <w:right w:w="80" w:type="dxa"/>
            </w:tcMar>
          </w:tcPr>
          <w:p>
            <w:r>
              <w:rPr>
                <w:sz w:val="18"/>
              </w:rPr>
              <w:t>Slide 15 &amp; TA Log | Explain the Texas A&amp;M Forest Service support channel, establish rapid-response SLAs, answer administrator questions, and confirm next steps.</w:t>
            </w:r>
          </w:p>
        </w:tc>
      </w:tr>
      <w:tr>
        <w:tc>
          <w:tcPr>
            <w:tcW w:type="dxa" w:w="4968"/>
            <w:shd w:val="clear" w:color="auto" w:fill="EBF3EE"/>
            <w:tcMar>
              <w:top w:w="60" w:type="dxa"/>
              <w:bottom w:w="60" w:type="dxa"/>
              <w:left w:w="80" w:type="dxa"/>
              <w:right w:w="80" w:type="dxa"/>
            </w:tcMar>
          </w:tcPr>
          <w:p>
            <w:r>
              <w:rPr>
                <w:b/>
                <w:sz w:val="18"/>
              </w:rPr>
              <w:t>Facilitator Action:</w:t>
            </w:r>
          </w:p>
        </w:tc>
        <w:tc>
          <w:tcPr>
            <w:tcW w:type="dxa" w:w="4968"/>
            <w:shd w:val="clear" w:color="auto" w:fill="FFFFFF"/>
            <w:tcMar>
              <w:top w:w="60" w:type="dxa"/>
              <w:bottom w:w="60" w:type="dxa"/>
              <w:left w:w="80" w:type="dxa"/>
              <w:right w:w="80" w:type="dxa"/>
            </w:tcMar>
          </w:tcPr>
          <w:p>
            <w:r>
              <w:rPr>
                <w:sz w:val="18"/>
              </w:rPr>
              <w:t>Project Slide 15. Show the Technical Assistance Log schema. Provide the direct QR code and web link for booking on-site equipment kits and support sessions.</w:t>
            </w:r>
          </w:p>
        </w:tc>
      </w:tr>
    </w:tbl>
    <w:p>
      <w:pPr>
        <w:spacing w:after="40"/>
      </w:pPr>
    </w:p>
    <w:tbl>
      <w:tblPr>
        <w:tblW w:type="auto" w:w="0"/>
        <w:tblLayout w:type="fixed"/>
        <w:tblLook w:firstColumn="1" w:firstRow="1" w:lastColumn="0" w:lastRow="0" w:noHBand="0" w:noVBand="1" w:val="04A0"/>
      </w:tblPr>
      <w:tblGrid>
        <w:gridCol w:w="9792"/>
      </w:tblGrid>
      <w:tr>
        <w:tc>
          <w:tcPr>
            <w:tcW w:type="dxa" w:w="9936"/>
            <w:shd w:val="clear" w:color="auto" w:fill="F5F9F6"/>
            <w:tcMar>
              <w:top w:w="80" w:type="dxa"/>
              <w:bottom w:w="80" w:type="dxa"/>
              <w:left w:w="120" w:type="dxa"/>
              <w:right w:w="120" w:type="dxa"/>
            </w:tcMar>
          </w:tcPr>
          <w:p>
            <w:r>
              <w:rPr>
                <w:b/>
                <w:color w:val="0C4B33"/>
                <w:sz w:val="19"/>
              </w:rPr>
              <w:t>Verbatim Facilitator Script:</w:t>
              <w:br/>
            </w:r>
            <w:r>
              <w:rPr>
                <w:i/>
                <w:sz w:val="19"/>
              </w:rPr>
              <w:t>To ensure your campuses succeed, Texas Trees Foundation and UTRGV provide dedicated Technical Assistance under our Texas A&amp;M Forest Service grant. If your teachers need extra infrared thermometers, if you want on-site field facilitation, or if you need custom data for your school board, you submit a request through our Technical Assistance Log.</w:t>
              <w:br/>
              <w:br/>
              <w:t>We maintain a strict 24-to-48-hour response SLA. Our goal is to ensure that your schools have the scientific tools, curriculum, and infrastructure data to keep students healthy, present, and learning. Let’s open the floor for questions.</w:t>
            </w:r>
          </w:p>
        </w:tc>
      </w:tr>
    </w:tbl>
    <w:p>
      <w:pPr>
        <w:spacing w:after="160"/>
      </w:pPr>
    </w:p>
    <w:p>
      <w:r>
        <w:rPr>
          <w:b/>
          <w:color w:val="0C4B33"/>
          <w:sz w:val="26"/>
        </w:rPr>
        <w:t>4. Facilitator Objection Handling &amp; District FAQ Guide</w:t>
      </w:r>
    </w:p>
    <w:p>
      <w:r>
        <w:rPr>
          <w:b/>
          <w:color w:val="0C4B33"/>
          <w:sz w:val="20"/>
        </w:rPr>
        <w:t>Q: "Will this outdoor lab take instructional time away from mandatory STAAR preparation?"</w:t>
      </w:r>
    </w:p>
    <w:p>
      <w:pPr>
        <w:spacing w:after="80"/>
        <w:ind w:left="360"/>
      </w:pPr>
      <w:r>
        <w:rPr>
          <w:sz w:val="19"/>
        </w:rPr>
        <w:t>Facilitator Response: "On the contrary, this lab is 100% aligned with Grade 3–5 Science TEKS §112.14–§112.16 (Thermal Energy Transfer, Environmental Factors, Organisms &amp; Environments). It reinforces tested STAAR math concepts—such as calculating temperature differentials and measuring circumferences—using real physical evidence on their own campus. Teachers report higher engagement and retention compared to standard paper worksheets."</w:t>
      </w:r>
    </w:p>
    <w:p>
      <w:r>
        <w:rPr>
          <w:b/>
          <w:color w:val="0C4B33"/>
          <w:sz w:val="20"/>
        </w:rPr>
        <w:t>Q: "How do we ensure newly planted trees will survive extreme summer heat and school breaks?"</w:t>
      </w:r>
    </w:p>
    <w:p>
      <w:pPr>
        <w:spacing w:after="80"/>
        <w:ind w:left="360"/>
      </w:pPr>
      <w:r>
        <w:rPr>
          <w:sz w:val="19"/>
        </w:rPr>
        <w:t>Facilitator Response: "First, every selected tree (Texas Ebony, Anacua, Cedar Elm, Live Oak) is native to the Lower Rio Grande Valley, evolved over thousands of years to withstand extreme heat and drought. Second, under our Monitoring SOP v0.6, Texas Trees Foundation and district facilities teams establish scheduled deep-watering bags (Gator Bags) and student Tree Diary monitoring to track soil moisture before heat stress occurs."</w:t>
      </w:r>
    </w:p>
    <w:p>
      <w:r>
        <w:rPr>
          <w:b/>
          <w:color w:val="0C4B33"/>
          <w:sz w:val="20"/>
        </w:rPr>
        <w:t>Q: "What if teachers or students don't have smartphones or Wi-Fi outside on the playground?"</w:t>
      </w:r>
    </w:p>
    <w:p>
      <w:pPr>
        <w:spacing w:after="80"/>
        <w:ind w:left="360"/>
      </w:pPr>
      <w:r>
        <w:rPr>
          <w:sz w:val="19"/>
        </w:rPr>
        <w:t>Facilitator Response: "The entire student activity is designed analog-first! Students record their temperature readings on paper clipboards. Once back inside the classroom, the teacher inputs the aggregate campus numbers into the portal on a single desktop computer in under 3 minutes."</w:t>
      </w:r>
    </w:p>
    <w:p>
      <w:r>
        <w:rPr>
          <w:b/>
          <w:color w:val="0C4B33"/>
          <w:sz w:val="20"/>
        </w:rPr>
        <w:t>Q: "How does this data stay compliant with student privacy laws (FERPA / COPPA)?"</w:t>
      </w:r>
    </w:p>
    <w:p>
      <w:pPr>
        <w:spacing w:after="80"/>
        <w:ind w:left="360"/>
      </w:pPr>
      <w:r>
        <w:rPr>
          <w:sz w:val="19"/>
        </w:rPr>
        <w:t>Facilitator Response: "Our system has zero student logins, captures zero student names, and takes zero identifiable photos. All environmental entries are strictly aggregated at the school level (e.g., 'Grade 4 - M. Rivas Primary'). It is 100% COPPA and FERPA compliant by architectural design."</w:t>
      </w:r>
    </w:p>
    <w:p>
      <w:r>
        <w:rPr>
          <w:b/>
          <w:color w:val="0C4B33"/>
          <w:sz w:val="26"/>
        </w:rPr>
        <w:t>5. Post-Session Wrap-Up &amp; TFS Compliance Protocol</w:t>
      </w:r>
    </w:p>
    <w:p>
      <w:pPr>
        <w:pStyle w:val="ListBullet"/>
        <w:spacing w:after="40"/>
      </w:pPr>
      <w:r>
        <w:t>1. Attendance &amp; Role Logging: Collect sign-in sheets (or virtual webinar export) recording attendee names, titles, and campus assignments.</w:t>
      </w:r>
    </w:p>
    <w:p>
      <w:pPr>
        <w:pStyle w:val="ListBullet"/>
        <w:spacing w:after="40"/>
      </w:pPr>
      <w:r>
        <w:t>2. Log Technical Assistance Entry: Immediately file a record in the TFS Technical Assistance Log (Technical_Assistance_Log.docx) noting date, duration (45 mins), participant count, and district inquiries received.</w:t>
      </w:r>
    </w:p>
    <w:p>
      <w:pPr>
        <w:pStyle w:val="ListBullet"/>
        <w:spacing w:after="40"/>
      </w:pPr>
      <w:r>
        <w:t>3. Distribute Toolkits: Hand off or ship the physical demonstration toolkit (IR laser thermometers, DBH tapes) to designated lead science teachers.</w:t>
      </w:r>
    </w:p>
    <w:p>
      <w:pPr>
        <w:pStyle w:val="ListBullet"/>
        <w:spacing w:after="40"/>
      </w:pPr>
      <w:r>
        <w:t>4. Follow-up Email: Send the password-protected portal link (teks_lesson_plans.html) and digital PDF handouts to all attendees within 24 hours of session completion.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