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Monthly Progress Report — Month 3 (August 2026)</w:t>
      </w:r>
    </w:p>
    <w:p>
      <w:r>
        <w:rPr>
          <w:i/>
          <w:color w:val="336633"/>
          <w:sz w:val="24"/>
        </w:rPr>
        <w:t>Project Cool Schools: Environmental Impact Evaluation &amp; Dashboard Development</w:t>
        <w:br/>
        <w:t>Texas Trees Foundation | UTRGV Agroecology</w:t>
      </w:r>
    </w:p>
    <w:p>
      <w:r>
        <w:rPr>
          <w:b/>
        </w:rPr>
        <w:t xml:space="preserve">Reporting Period: </w:t>
      </w:r>
      <w:r>
        <w:t>August 1, 2026 – August 31, 2026</w:t>
        <w:br/>
      </w:r>
      <w:r>
        <w:rPr>
          <w:b/>
        </w:rPr>
        <w:t xml:space="preserve">Contract Reference: </w:t>
      </w:r>
      <w:r>
        <w:t>Master Service Agreement TTF-UTRGV (SOW Deliverables A, B, C)</w:t>
        <w:br/>
      </w:r>
      <w:r>
        <w:rPr>
          <w:b/>
        </w:rPr>
        <w:t xml:space="preserve">Invoice Reference: </w:t>
      </w:r>
      <w:r>
        <w:t>Invoice #3 — August 2026 Milestone (,514.00)</w:t>
        <w:br/>
      </w:r>
      <w:r>
        <w:rPr>
          <w:b/>
        </w:rPr>
        <w:t xml:space="preserve">Principal Investigator: </w:t>
      </w:r>
      <w:r>
        <w:t>Alexis Racelis, Ph.D., UTRGV Agroecology</w:t>
        <w:br/>
      </w:r>
      <w:r>
        <w:rPr>
          <w:b/>
        </w:rPr>
        <w:t xml:space="preserve">Submitted To: </w:t>
      </w:r>
      <w:r>
        <w:t>Iesha Perkins (Grants Lead) &amp; Beth Edwards (CFO), Texas Trees Foundation</w:t>
      </w:r>
    </w:p>
    <w:p>
      <w:pPr>
        <w:pStyle w:val="Heading1"/>
      </w:pPr>
      <w:r>
        <w:t>1. Executive Summary &amp; Billing Claim</w:t>
      </w:r>
    </w:p>
    <w:p>
      <w:r>
        <w:t>During the August 2026 reporting period (Month 3), the UTRGV Cool Schools research and development team successfully achieved all scheduled milestones defined in Exhibit D of the Master Service Agreement. This report substantiates the August 2026 Milestone Invoice of ,514.00 across Deliverables A, B, and C.</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Deliverable Component</w:t>
            </w:r>
          </w:p>
        </w:tc>
        <w:tc>
          <w:tcPr>
            <w:tcW w:type="dxa" w:w="1560"/>
          </w:tcPr>
          <w:p>
            <w:r>
              <w:rPr>
                <w:b/>
                <w:sz w:val="18"/>
              </w:rPr>
              <w:t>Total Contract</w:t>
            </w:r>
          </w:p>
        </w:tc>
        <w:tc>
          <w:tcPr>
            <w:tcW w:type="dxa" w:w="1560"/>
          </w:tcPr>
          <w:p>
            <w:r>
              <w:rPr>
                <w:b/>
                <w:sz w:val="18"/>
              </w:rPr>
              <w:t>Prior Billed</w:t>
            </w:r>
          </w:p>
        </w:tc>
        <w:tc>
          <w:tcPr>
            <w:tcW w:type="dxa" w:w="1560"/>
          </w:tcPr>
          <w:p>
            <w:r>
              <w:rPr>
                <w:b/>
                <w:sz w:val="18"/>
              </w:rPr>
              <w:t>August Earned</w:t>
            </w:r>
          </w:p>
        </w:tc>
        <w:tc>
          <w:tcPr>
            <w:tcW w:type="dxa" w:w="1560"/>
          </w:tcPr>
          <w:p>
            <w:r>
              <w:rPr>
                <w:b/>
                <w:sz w:val="18"/>
              </w:rPr>
              <w:t>Cumul. Total</w:t>
            </w:r>
          </w:p>
        </w:tc>
        <w:tc>
          <w:tcPr>
            <w:tcW w:type="dxa" w:w="1560"/>
          </w:tcPr>
          <w:p>
            <w:r>
              <w:rPr>
                <w:b/>
                <w:sz w:val="18"/>
              </w:rPr>
              <w:t>% Earned</w:t>
            </w:r>
          </w:p>
        </w:tc>
      </w:tr>
      <w:tr>
        <w:tc>
          <w:tcPr>
            <w:tcW w:type="dxa" w:w="1560"/>
          </w:tcPr>
          <w:p>
            <w:r>
              <w:rPr>
                <w:sz w:val="17"/>
              </w:rPr>
              <w:t>Deliverable A: Baseline Data Summary</w:t>
            </w:r>
          </w:p>
        </w:tc>
        <w:tc>
          <w:tcPr>
            <w:tcW w:type="dxa" w:w="1560"/>
          </w:tcPr>
          <w:p>
            <w:r>
              <w:rPr>
                <w:sz w:val="17"/>
              </w:rPr>
              <w:t>,670.00</w:t>
            </w:r>
          </w:p>
        </w:tc>
        <w:tc>
          <w:tcPr>
            <w:tcW w:type="dxa" w:w="1560"/>
          </w:tcPr>
          <w:p>
            <w:r>
              <w:rPr>
                <w:sz w:val="17"/>
              </w:rPr>
              <w:t>,938.00</w:t>
            </w:r>
          </w:p>
        </w:tc>
        <w:tc>
          <w:tcPr>
            <w:tcW w:type="dxa" w:w="1560"/>
          </w:tcPr>
          <w:p>
            <w:r>
              <w:rPr>
                <w:sz w:val="17"/>
              </w:rPr>
              <w:t>,357.00</w:t>
            </w:r>
          </w:p>
        </w:tc>
        <w:tc>
          <w:tcPr>
            <w:tcW w:type="dxa" w:w="1560"/>
          </w:tcPr>
          <w:p>
            <w:r>
              <w:rPr>
                <w:sz w:val="17"/>
              </w:rPr>
              <w:t>,295.00</w:t>
            </w:r>
          </w:p>
        </w:tc>
        <w:tc>
          <w:tcPr>
            <w:tcW w:type="dxa" w:w="1560"/>
          </w:tcPr>
          <w:p>
            <w:r>
              <w:rPr>
                <w:sz w:val="17"/>
              </w:rPr>
              <w:t>81.0%</w:t>
            </w:r>
          </w:p>
        </w:tc>
      </w:tr>
      <w:tr>
        <w:tc>
          <w:tcPr>
            <w:tcW w:type="dxa" w:w="1560"/>
          </w:tcPr>
          <w:p>
            <w:r>
              <w:rPr>
                <w:sz w:val="17"/>
              </w:rPr>
              <w:t>Deliverable B: Monitoring Docs &amp; Training</w:t>
            </w:r>
          </w:p>
        </w:tc>
        <w:tc>
          <w:tcPr>
            <w:tcW w:type="dxa" w:w="1560"/>
          </w:tcPr>
          <w:p>
            <w:r>
              <w:rPr>
                <w:sz w:val="17"/>
              </w:rPr>
              <w:t>,150.00</w:t>
            </w:r>
          </w:p>
        </w:tc>
        <w:tc>
          <w:tcPr>
            <w:tcW w:type="dxa" w:w="1560"/>
          </w:tcPr>
          <w:p>
            <w:r>
              <w:rPr>
                <w:sz w:val="17"/>
              </w:rPr>
              <w:t>,172.00</w:t>
            </w:r>
          </w:p>
        </w:tc>
        <w:tc>
          <w:tcPr>
            <w:tcW w:type="dxa" w:w="1560"/>
          </w:tcPr>
          <w:p>
            <w:r>
              <w:rPr>
                <w:sz w:val="17"/>
              </w:rPr>
              <w:t>,843.00</w:t>
            </w:r>
          </w:p>
        </w:tc>
        <w:tc>
          <w:tcPr>
            <w:tcW w:type="dxa" w:w="1560"/>
          </w:tcPr>
          <w:p>
            <w:r>
              <w:rPr>
                <w:sz w:val="17"/>
              </w:rPr>
              <w:t>,015.00</w:t>
            </w:r>
          </w:p>
        </w:tc>
        <w:tc>
          <w:tcPr>
            <w:tcW w:type="dxa" w:w="1560"/>
          </w:tcPr>
          <w:p>
            <w:r>
              <w:rPr>
                <w:sz w:val="17"/>
              </w:rPr>
              <w:t>62.3%</w:t>
            </w:r>
          </w:p>
        </w:tc>
      </w:tr>
      <w:tr>
        <w:tc>
          <w:tcPr>
            <w:tcW w:type="dxa" w:w="1560"/>
          </w:tcPr>
          <w:p>
            <w:r>
              <w:rPr>
                <w:sz w:val="17"/>
              </w:rPr>
              <w:t>Deliverable C: Forecasting &amp; Dashboard v2</w:t>
            </w:r>
          </w:p>
        </w:tc>
        <w:tc>
          <w:tcPr>
            <w:tcW w:type="dxa" w:w="1560"/>
          </w:tcPr>
          <w:p>
            <w:r>
              <w:rPr>
                <w:sz w:val="17"/>
              </w:rPr>
              <w:t>,805.00</w:t>
            </w:r>
          </w:p>
        </w:tc>
        <w:tc>
          <w:tcPr>
            <w:tcW w:type="dxa" w:w="1560"/>
          </w:tcPr>
          <w:p>
            <w:r>
              <w:rPr>
                <w:sz w:val="17"/>
              </w:rPr>
              <w:t>,417.00</w:t>
            </w:r>
          </w:p>
        </w:tc>
        <w:tc>
          <w:tcPr>
            <w:tcW w:type="dxa" w:w="1560"/>
          </w:tcPr>
          <w:p>
            <w:r>
              <w:rPr>
                <w:sz w:val="17"/>
              </w:rPr>
              <w:t>,314.00</w:t>
            </w:r>
          </w:p>
        </w:tc>
        <w:tc>
          <w:tcPr>
            <w:tcW w:type="dxa" w:w="1560"/>
          </w:tcPr>
          <w:p>
            <w:r>
              <w:rPr>
                <w:sz w:val="17"/>
              </w:rPr>
              <w:t>,731.00</w:t>
            </w:r>
          </w:p>
        </w:tc>
        <w:tc>
          <w:tcPr>
            <w:tcW w:type="dxa" w:w="1560"/>
          </w:tcPr>
          <w:p>
            <w:r>
              <w:rPr>
                <w:sz w:val="17"/>
              </w:rPr>
              <w:t>35.4%</w:t>
            </w:r>
          </w:p>
        </w:tc>
      </w:tr>
      <w:tr>
        <w:tc>
          <w:tcPr>
            <w:tcW w:type="dxa" w:w="1560"/>
          </w:tcPr>
          <w:p>
            <w:r>
              <w:rPr>
                <w:sz w:val="17"/>
              </w:rPr>
              <w:t>Deliverable D: Training Delivery (2027)</w:t>
            </w:r>
          </w:p>
        </w:tc>
        <w:tc>
          <w:tcPr>
            <w:tcW w:type="dxa" w:w="1560"/>
          </w:tcPr>
          <w:p>
            <w:r>
              <w:rPr>
                <w:sz w:val="17"/>
              </w:rPr>
              <w:t>,000.00</w:t>
            </w:r>
          </w:p>
        </w:tc>
        <w:tc>
          <w:tcPr>
            <w:tcW w:type="dxa" w:w="1560"/>
          </w:tcPr>
          <w:p>
            <w:r>
              <w:rPr>
                <w:sz w:val="17"/>
              </w:rPr>
              <w:t>zsh.00</w:t>
            </w:r>
          </w:p>
        </w:tc>
        <w:tc>
          <w:tcPr>
            <w:tcW w:type="dxa" w:w="1560"/>
          </w:tcPr>
          <w:p>
            <w:r>
              <w:rPr>
                <w:sz w:val="17"/>
              </w:rPr>
              <w:t>zsh.00</w:t>
            </w:r>
          </w:p>
        </w:tc>
        <w:tc>
          <w:tcPr>
            <w:tcW w:type="dxa" w:w="1560"/>
          </w:tcPr>
          <w:p>
            <w:r>
              <w:rPr>
                <w:sz w:val="17"/>
              </w:rPr>
              <w:t>zsh.00</w:t>
            </w:r>
          </w:p>
        </w:tc>
        <w:tc>
          <w:tcPr>
            <w:tcW w:type="dxa" w:w="1560"/>
          </w:tcPr>
          <w:p>
            <w:r>
              <w:rPr>
                <w:sz w:val="17"/>
              </w:rPr>
              <w:t>0.0%</w:t>
            </w:r>
          </w:p>
        </w:tc>
      </w:tr>
      <w:tr>
        <w:tc>
          <w:tcPr>
            <w:tcW w:type="dxa" w:w="1560"/>
          </w:tcPr>
          <w:p>
            <w:r>
              <w:rPr>
                <w:b/>
                <w:sz w:val="17"/>
              </w:rPr>
              <w:t>TOTAL CONTRACT BILLING</w:t>
            </w:r>
          </w:p>
        </w:tc>
        <w:tc>
          <w:tcPr>
            <w:tcW w:type="dxa" w:w="1560"/>
          </w:tcPr>
          <w:p>
            <w:r>
              <w:rPr>
                <w:b/>
                <w:sz w:val="17"/>
              </w:rPr>
              <w:t>,625.00</w:t>
            </w:r>
          </w:p>
        </w:tc>
        <w:tc>
          <w:tcPr>
            <w:tcW w:type="dxa" w:w="1560"/>
          </w:tcPr>
          <w:p>
            <w:r>
              <w:rPr>
                <w:b/>
                <w:sz w:val="17"/>
              </w:rPr>
              <w:t>,527.00</w:t>
            </w:r>
          </w:p>
        </w:tc>
        <w:tc>
          <w:tcPr>
            <w:tcW w:type="dxa" w:w="1560"/>
          </w:tcPr>
          <w:p>
            <w:r>
              <w:rPr>
                <w:b/>
                <w:sz w:val="17"/>
              </w:rPr>
              <w:t>,514.00</w:t>
            </w:r>
          </w:p>
        </w:tc>
        <w:tc>
          <w:tcPr>
            <w:tcW w:type="dxa" w:w="1560"/>
          </w:tcPr>
          <w:p>
            <w:r>
              <w:rPr>
                <w:b/>
                <w:sz w:val="17"/>
              </w:rPr>
              <w:t>,041.00</w:t>
            </w:r>
          </w:p>
        </w:tc>
        <w:tc>
          <w:tcPr>
            <w:tcW w:type="dxa" w:w="1560"/>
          </w:tcPr>
          <w:p>
            <w:r>
              <w:rPr>
                <w:b/>
                <w:sz w:val="17"/>
              </w:rPr>
              <w:t>53.3%</w:t>
            </w:r>
          </w:p>
        </w:tc>
      </w:tr>
    </w:tbl>
    <w:p>
      <w:pPr>
        <w:pStyle w:val="Heading1"/>
      </w:pPr>
      <w:r>
        <w:t>2. August 2026 Milestone Accomplishments</w:t>
      </w:r>
    </w:p>
    <w:p>
      <w:pPr>
        <w:pStyle w:val="Heading2"/>
      </w:pPr>
      <w:r>
        <w:t>Deliverable A: Environmental Baseline Data Summary (,357.00 Earned)</w:t>
      </w:r>
    </w:p>
    <w:p>
      <w:r>
        <w:rPr>
          <w:b/>
        </w:rPr>
        <w:t xml:space="preserve">• Multi-Campus High-Precision Spatial Zoning: </w:t>
      </w:r>
      <w:r>
        <w:t>Expanded browser-based GIS digitization across participating Donna ISD and Mercedes ISD campuses, resolving exact square footage across open fields, asphalt, hardscape, and tree buffers.</w:t>
        <w:br/>
      </w:r>
      <w:r>
        <w:rPr>
          <w:b/>
        </w:rPr>
        <w:t xml:space="preserve">• Baseline Fact Sheets Locked: </w:t>
      </w:r>
      <w:r>
        <w:t>Finalized definitive surface area tables for pilot campuses (including M. Rivas Primary: 885,925 sq ft boundary, 47.8% open field, 15.6% rooftops, 11.1% parking/hardscape, 0.5% shaded canopies).</w:t>
        <w:br/>
      </w:r>
      <w:r>
        <w:rPr>
          <w:b/>
        </w:rPr>
        <w:t xml:space="preserve">• Topological QA/QC: </w:t>
      </w:r>
      <w:r>
        <w:t>Implemented automated Turf.js geometric validation to ensure clean polygon overlays with zero coordinate drift.</w:t>
      </w:r>
    </w:p>
    <w:p>
      <w:pPr>
        <w:pStyle w:val="Heading2"/>
      </w:pPr>
      <w:r>
        <w:t>Deliverable B: Monitoring Documentation Package &amp; Training v0.5 (,843.00 Earned)</w:t>
      </w:r>
    </w:p>
    <w:p>
      <w:r>
        <w:rPr>
          <w:b/>
        </w:rPr>
        <w:t xml:space="preserve">• Training Materials v0.5: </w:t>
      </w:r>
      <w:r>
        <w:t>Completed the educator and administrator training presentation slide deck (donna_isd_presentation_slides.md) connecting extreme heat, student health, and Average Daily Attendance (ADA) funding.</w:t>
        <w:br/>
      </w:r>
      <w:r>
        <w:rPr>
          <w:b/>
        </w:rPr>
        <w:t xml:space="preserve">• Technical Assistance (TA) Log Schema Deployed: </w:t>
      </w:r>
      <w:r>
        <w:t>Published formal TA logging schema (Technical_Assistance_Log_v0.5.md) tracking district queries, response times, and pedagogical support per Texas A&amp;M Forest Service grant compliance.</w:t>
        <w:br/>
      </w:r>
      <w:r>
        <w:rPr>
          <w:b/>
        </w:rPr>
        <w:t xml:space="preserve">• SOP Protocols v0.6 Review: </w:t>
      </w:r>
      <w:r>
        <w:t>Maintained Standard Operating Procedures for zero-footprint manual fieldwork, infrared surface temperature recording, and tree DBH measurement.</w:t>
      </w:r>
    </w:p>
    <w:p>
      <w:pPr>
        <w:pStyle w:val="Heading2"/>
      </w:pPr>
      <w:r>
        <w:t>Deliverable C: Forecasting &amp; Digital Dashboard Support (,314.00 Earned)</w:t>
      </w:r>
    </w:p>
    <w:p>
      <w:r>
        <w:rPr>
          <w:b/>
        </w:rPr>
        <w:t xml:space="preserve">• Modeling Visuals Package: </w:t>
      </w:r>
      <w:r>
        <w:t>Assembled diurnal thermal surface profiles (morning, midday 138°F asphalt peak vs 87°F canopy, and evening retention) and 5/10-year longitudinal canopy growth projection tables (Modeling_Visuals_Package.md).</w:t>
        <w:br/>
      </w:r>
      <w:r>
        <w:rPr>
          <w:b/>
        </w:rPr>
        <w:t xml:space="preserve">• Dashboard v2 Architectural Planning Memo: </w:t>
      </w:r>
      <w:r>
        <w:t>Published comprehensive v2 roadmap (Dashboard_v2_Planning_Memo.md) addressing stakeholder feedback, PWA offline caching, and asset bundling.</w:t>
        <w:br/>
      </w:r>
      <w:r>
        <w:rPr>
          <w:b/>
        </w:rPr>
        <w:t xml:space="preserve">• Prototyped New Extensions: </w:t>
      </w:r>
      <w:r>
        <w:t>Engineered 4 key prototype extensions: Role-Based Access Control (user_access_strategy.html), Tree Sponsorship Portal (crm.js / donors_data.js), Child-Friendly Habitat Spotting (biodiversity_analog_concept.html), and Password-Protected TEKS Lesson Plans (teks_lesson_plans.html).</w:t>
        <w:br/>
      </w:r>
      <w:r>
        <w:rPr>
          <w:b/>
        </w:rPr>
        <w:t xml:space="preserve">• Codebase Optimization: </w:t>
      </w:r>
      <w:r>
        <w:t>Completed strict IIFE encapsulation, preconnected CDN links, and semantic ARIA accessibility standards across all 49 static dashboard pages.</w:t>
      </w:r>
    </w:p>
    <w:p>
      <w:pPr>
        <w:pStyle w:val="Heading1"/>
      </w:pPr>
      <w:r>
        <w:t>3. Governance, Privacy, and Handoff Assurance</w:t>
      </w:r>
    </w:p>
    <w:p>
      <w:r>
        <w:t>All work performed adheres strictly to the core project mandates:</w:t>
        <w:br/>
        <w:t>• Privacy-First Architecture: 100% COPPA and FERPA zero-PII compliance; all student activity is aggregated at campus levels.</w:t>
        <w:br/>
        <w:t>• Handoff Portability: Zero proprietary backend dependencies; clean static HTML5/CSS3/ES6 stack ready for TTFS server hosting.</w:t>
        <w:br/>
        <w:t>• UTRGV AI Compliance: Strict adherence to UTRGV Dec 1, 2025 AI governance with verified human-in-the-loop oversight.</w:t>
      </w:r>
    </w:p>
    <w:p>
      <w:pPr>
        <w:pStyle w:val="Heading1"/>
      </w:pPr>
      <w:r>
        <w:t>4. September 2026 Forward Workplan</w:t>
      </w:r>
    </w:p>
    <w:p>
      <w:r>
        <w:t>The upcoming September sprint (,022.00 milestone) will focus on:</w:t>
        <w:br/>
        <w:t>1. Dashboard v2 early components (lightweight bundling, offline caching layers).</w:t>
        <w:br/>
        <w:t>2. Standardized figure caption conventions and publication-ready graphics.</w:t>
        <w:br/>
        <w:t>3. Usability pass and data caveat documentation for district users.</w:t>
        <w:br/>
        <w:t>4. Progressing training materials to v0.8.</w:t>
      </w:r>
    </w:p>
    <w:p>
      <w:pPr>
        <w:pStyle w:val="Heading1"/>
      </w:pPr>
      <w:r>
        <w:t>5. Certification of Progress</w:t>
      </w:r>
    </w:p>
    <w:p>
      <w:r>
        <w:t>I hereby certify that the work described in this report has been performed in accordance with the terms of the Master Service Agreement, and that all documented milestone deliverables are accurate and verifiable.</w:t>
        <w:br/>
        <w:br/>
        <w:t>Alexis Racelis, Ph.D.</w:t>
        <w:br/>
        <w:t>Principal Investigator, UTRGV Agroecology</w:t>
        <w:br/>
        <w:t>Date: August 26,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