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Modeling Visuals &amp; Figure Placeholder Package</w:t>
      </w:r>
    </w:p>
    <w:p>
      <w:r>
        <w:t>Contract Deliverable: SOW Deliverable C — Forecasting &amp; Modeling Support (August 2026)</w:t>
        <w:br/>
        <w:t>Texas Trees Foundation | UTRGV Agroecology</w:t>
      </w:r>
    </w:p>
    <w:p>
      <w:pPr>
        <w:pStyle w:val="Heading1"/>
      </w:pPr>
      <w:r>
        <w:t>1. Diurnal Surface Temperature Heat Maps</w:t>
      </w:r>
    </w:p>
    <w:p>
      <w:r>
        <w:t>Figure 1.1: Diurnal Thermal Surface Variation — Baseline Simulation (M. Rivas Primary)</w:t>
        <w:br/>
        <w:t>• Morning (09:00 AM): Ambient 84°F, Unshaded Turf 91°F, Asphalt 102°F, Under Canopy 81°F.</w:t>
        <w:br/>
        <w:t>• Midday Peak (01:00 PM): Ambient 98°F, Unshaded Turf 114°F, Asphalt 138°F, Under Canopy 87°F (51°F surface temperature differential).</w:t>
        <w:br/>
        <w:t>• Evening Retention (05:00 PM): Ambient 93°F, Unshaded Turf 104°F, Asphalt 126°F, Under Canopy 85°F.</w:t>
      </w:r>
    </w:p>
    <w:p>
      <w:pPr>
        <w:pStyle w:val="Heading1"/>
      </w:pPr>
      <w:r>
        <w:t>2. Multi-Year Canopy Coverage Projections</w:t>
      </w:r>
    </w:p>
    <w:p>
      <w:r>
        <w:t>Table 1: Canopy Coverage and Temperature Delta Projections</w:t>
        <w:br/>
        <w:t>• M. Rivas Primary (Donna): Baseline 4.2% -&gt; Year 5: 14.8% -&gt; Year 10: 26.5% (+18.5 Outdoor Recess Days Gained)</w:t>
        <w:br/>
        <w:t>• J.W. Caceres Elem (Donna): Baseline 3.8% -&gt; Year 5: 13.5% -&gt; Year 10: 24.9% (+16.0 Days Gained)</w:t>
        <w:br/>
        <w:t>• Chacon Middle (Mercedes): Baseline 6.0% -&gt; Year 5: 17.4% -&gt; Year 10: 29.8% (+21.0 Days Gained)</w:t>
        <w:br/>
        <w:t>• Travis Elementary (Mercedes): Baseline 4.7% -&gt; Year 5: 15.0% -&gt; Year 10: 27.2% (+17.8 Days Gained)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