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CONTENT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At least one specific, observable strength, supported by an example where appropriate.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(not “wonderful student”)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Claims are backed by evidence — participation, work samples, projects, records.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Academic claims — improved, declined, or general (“performs well across all subjects,” “exceeds grade-level expectations”) — match actual academic records.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At least one specific and actionable growth point stating what the student should practise or improve.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more than 2–3 development points total.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Balanced — not all praise or all criticism, unless a strengths-only remark is intentionally permitted by school policy.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Remark describes observable school behaviour, not personality judgements.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(e.g. “submits work on time,” not “is lazy” or “is a shy person”)</w:t>
      </w:r>
    </w:p>
    <w:p>
      <w:pPr>
        <w:pBdr>
          <w:bottom w:val="single" w:color="1F3864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ACCURACY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Correct student name used throughout — no other student's name present.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Pronouns are consistent and verified against roster — never guessed from name.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Awards, roles, clubs, and competitions are verified, not assumed.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Attendance mentioned only if it affects learning — no private reasons given.</w:t>
      </w:r>
    </w:p>
    <w:p>
      <w:pPr>
        <w:pBdr>
          <w:bottom w:val="single" w:color="1F3864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TONE &amp; LANGUAGE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casual phrasing.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(“keep shining,” “a joy to teach,” “lively vibes”)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sentimental or promotional language.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(“everyone adores her,” “destined for greatness”)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inflated praise unless evidenced.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(“exceptional,” “outstanding,” “perfect”)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Directive language (“must / needs to / should”) is not overused or repeated — varied, constructive phrasing preferred.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Closing is brief and restrained.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(not “Reach for the stars!”)</w:t>
      </w:r>
    </w:p>
    <w:p>
      <w:pPr>
        <w:pBdr>
          <w:bottom w:val="single" w:color="B23B3B" w:sz="6" w:space="2"/>
        </w:pBdr>
        <w:spacing w:after="0" w:before="130"/>
      </w:pPr>
      <w:r>
        <w:rPr>
          <w:rFonts w:ascii="Calibri" w:cs="Calibri" w:eastAsia="Calibri" w:hAnsi="Calibri"/>
          <w:b/>
          <w:bCs/>
          <w:color w:val="B23B3B"/>
          <w:spacing w:val="8"/>
          <w:sz w:val="19"/>
          <w:szCs w:val="19"/>
        </w:rPr>
        <w:t xml:space="preserve">SAFEGUARDING &amp; PRIVACY — CRITICAL</w:t>
      </w:r>
    </w:p>
    <w:tbl>
      <w:tblPr>
        <w:tblW w:type="pct" w:w="100%"/>
        <w:tblBorders>
          <w:top w:val="single" w:color="B23B3B" w:sz="4"/>
          <w:left w:val="single" w:color="B23B3B" w:sz="4"/>
          <w:bottom w:val="single" w:color="B23B3B" w:sz="4"/>
          <w:right w:val="single" w:color="B23B3B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EAEA" w:val="clear"/>
            <w:tcMar>
              <w:top w:type="dxa" w:w="60"/>
              <w:left w:type="dxa" w:w="130"/>
              <w:bottom w:type="dxa" w:w="40"/>
              <w:right w:type="dxa" w:w="130"/>
            </w:tcMar>
          </w:tcPr>
          <w:p>
            <w:pPr>
              <w:spacing w:after="30" w:line="240"/>
              <w:ind w:left="100"/>
            </w:pPr>
            <w:r>
              <w:rPr>
                <w:rFonts w:ascii="Calibri" w:cs="Calibri" w:eastAsia="Calibri" w:hAnsi="Calibri"/>
                <w:color w:val="44546A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No medical, diagnostic, therapy, or medication information.</w:t>
            </w:r>
          </w:p>
          <w:p>
            <w:pPr>
              <w:spacing w:after="30" w:line="240"/>
              <w:ind w:left="100"/>
            </w:pPr>
            <w:r>
              <w:rPr>
                <w:rFonts w:ascii="Calibri" w:cs="Calibri" w:eastAsia="Calibri" w:hAnsi="Calibri"/>
                <w:color w:val="44546A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No clinical or diagnostic wording.</w:t>
            </w:r>
            <w:r>
              <w:rPr>
                <w:rFonts w:ascii="Calibri" w:cs="Calibri" w:eastAsia="Calibri" w:hAnsi="Calibri"/>
                <w:i/>
                <w:iCs/>
                <w:color w:val="44546A"/>
                <w:sz w:val="16"/>
                <w:szCs w:val="16"/>
              </w:rPr>
              <w:t xml:space="preserve">  (“dysregulated,” “attention deficit”) — describe behaviour instead.</w:t>
            </w:r>
          </w:p>
          <w:p>
            <w:pPr>
              <w:spacing w:after="30" w:line="240"/>
              <w:ind w:left="100"/>
            </w:pPr>
            <w:r>
              <w:rPr>
                <w:rFonts w:ascii="Calibri" w:cs="Calibri" w:eastAsia="Calibri" w:hAnsi="Calibri"/>
                <w:color w:val="44546A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No family, home, sibling, or financial details.</w:t>
            </w:r>
          </w:p>
          <w:p>
            <w:pPr>
              <w:spacing w:after="30" w:line="240"/>
              <w:ind w:left="100"/>
            </w:pPr>
            <w:r>
              <w:rPr>
                <w:rFonts w:ascii="Calibri" w:cs="Calibri" w:eastAsia="Calibri" w:hAnsi="Calibri"/>
                <w:color w:val="44546A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No comments on hygiene, sleep, eating, clothing, or home routines.</w:t>
            </w:r>
          </w:p>
          <w:p>
            <w:pPr>
              <w:spacing w:after="30" w:line="240"/>
              <w:ind w:left="100"/>
            </w:pPr>
            <w:r>
              <w:rPr>
                <w:rFonts w:ascii="Calibri" w:cs="Calibri" w:eastAsia="Calibri" w:hAnsi="Calibri"/>
                <w:color w:val="44546A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olor w:val="3B3B3B"/>
                <w:sz w:val="18"/>
                <w:szCs w:val="18"/>
              </w:rPr>
              <w:t xml:space="preserve">No humiliating or shaming language.</w:t>
            </w:r>
          </w:p>
        </w:tc>
      </w:tr>
    </w:tbl>
    <w:p>
      <w:pPr>
        <w:pBdr>
          <w:bottom w:val="single" w:color="1F3864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EQUITY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comparison to classmates, siblings, parents, or “average students.”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superiority claims.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(“best in class,” “sets him apart”)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assumptions based on gender, culture, disability, or background.</w:t>
      </w:r>
    </w:p>
    <w:p>
      <w:pPr>
        <w:pBdr>
          <w:bottom w:val="single" w:color="1F3864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CONSISTENCY &amp; MECHANICS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contradictions — same trait as both strength and weakness, unexplained.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No duplicated sentences, paragraphs, or closings.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Logical connectors used correctly.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(however, although, additionally)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Grammar, spelling, punctuation, and spacing checked.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British/Indian school spelling used consistently.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(organisation, practise/practice, etc.)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Programme/subject/sport/event names capitalised per school style.</w:t>
      </w:r>
      <w:r>
        <w:rPr>
          <w:rFonts w:ascii="Calibri" w:cs="Calibri" w:eastAsia="Calibri" w:hAnsi="Calibri"/>
          <w:i/>
          <w:iCs/>
          <w:color w:val="44546A"/>
          <w:sz w:val="16"/>
          <w:szCs w:val="16"/>
        </w:rPr>
        <w:t xml:space="preserve">  (Khoj, Eco Club, Sports Day, etc.)</w:t>
      </w:r>
    </w:p>
    <w:p>
      <w:pPr>
        <w:pBdr>
          <w:bottom w:val="single" w:color="1F3864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LENGTH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Under 1,000 characters, including spaces and line breaks.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Roughly 100–150 words — clear and readable.</w:t>
      </w:r>
    </w:p>
    <w:p>
      <w:pPr>
        <w:pBdr>
          <w:bottom w:val="single" w:color="1F3864" w:sz="6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FINAL SIGN-OFF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All items above reviewed.</w:t>
      </w:r>
    </w:p>
    <w:p>
      <w:pPr>
        <w:spacing w:after="30" w:line="240"/>
        <w:ind w:left="100"/>
      </w:pPr>
      <w:r>
        <w:rPr>
          <w:rFonts w:ascii="Calibri" w:cs="Calibri" w:eastAsia="Calibri" w:hAnsi="Calibri"/>
          <w:color w:val="44546A"/>
          <w:sz w:val="18"/>
          <w:szCs w:val="18"/>
        </w:rPr>
        <w:t xml:space="preserve">☐  </w:t>
      </w:r>
      <w:r>
        <w:rPr>
          <w:rFonts w:ascii="Calibri" w:cs="Calibri" w:eastAsia="Calibri" w:hAnsi="Calibri"/>
          <w:b w:val="false"/>
          <w:bCs w:val="false"/>
          <w:color w:val="3B3B3B"/>
          <w:sz w:val="18"/>
          <w:szCs w:val="18"/>
        </w:rPr>
        <w:t xml:space="preserve">Final correction made and approved by the teacher.</w:t>
      </w:r>
    </w:p>
    <w:sectPr>
      <w:headerReference w:type="default" r:id="rId7"/>
      <w:footerReference w:type="default" r:id="rId8"/>
      <w:pgSz w:w="12240" w:h="15840" w:orient="portrait"/>
      <w:pgMar w:top="576" w:right="863" w:bottom="504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44546A"/>
        <w:sz w:val="16"/>
        <w:szCs w:val="16"/>
      </w:rPr>
      <w:t xml:space="preserve">Review before submitting. The teacher makes the final decision on any revision.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12" w:space="3"/>
      </w:pBdr>
      <w:spacing w:after="60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QUILLWARDEN — TEACHER CHECKLIST</w:t>
    </w:r>
    <w:r>
      <w:rPr>
        <w:rFonts w:ascii="Calibri" w:cs="Calibri" w:eastAsia="Calibri" w:hAnsi="Calibri"/>
        <w:color w:val="44546A"/>
        <w:sz w:val="16"/>
        <w:szCs w:val="16"/>
      </w:rPr>
      <w:t xml:space="preserve">   · 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2026-07-09T02:32:16.315Z</dcterms:created>
  <dcterms:modified xsi:type="dcterms:W3CDTF">2026-07-09T02:32:16.315Z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