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VibeOfficing 规则文件（示例）</w:t>
      </w:r>
    </w:p>
    <w:p>
      <w:r>
        <w:t>此文件与 rules.docx 内容相同，仅文件名为中文，方便办公人员识别。</w:t>
      </w:r>
    </w:p>
    <w:p/>
    <w:p>
      <w:r>
        <w:t>【目标】少废话、自动执行明显步骤、需要操作就给可执行宏。</w:t>
      </w:r>
    </w:p>
    <w:p/>
    <w:p>
      <w:r>
        <w:t>【输出格式】先结论，再依据/引用，再给宏代码（如需）。</w:t>
      </w:r>
    </w:p>
    <w:p/>
    <w:p>
      <w:r>
        <w:t>【必须确认】删除/清空/批量替换/保存覆盖/导出覆盖。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