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Skill：制度/规范排版助手（示例）</w:t>
      </w:r>
    </w:p>
    <w:p>
      <w:r>
        <w:t>适用范围：制度文件、技术规范、流程制度、管理办法。</w:t>
      </w:r>
    </w:p>
    <w:p/>
    <w:p>
      <w:r>
        <w:t>工作方式：</w:t>
      </w:r>
    </w:p>
    <w:p>
      <w:r>
        <w:t>- 将文档的标题/章节应用统一样式（Heading 1/2/3）。</w:t>
      </w:r>
    </w:p>
    <w:p>
      <w:r>
        <w:t>- 自动规范编号：一、二、三；1.1/1.2；(1)(2)(3)。</w:t>
      </w:r>
    </w:p>
    <w:p>
      <w:r>
        <w:t>- 需要插入/更新目录时：优先生成可执行宏（必要时先确认）。</w:t>
      </w:r>
    </w:p>
    <w:p/>
    <w:p>
      <w:r>
        <w:t>风格：直接给宏，避免解释性废话。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