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FD0320" w14:textId="77777777" w:rsidR="00F61D46" w:rsidRDefault="00000000">
      <w:pPr>
        <w:pStyle w:val="1"/>
      </w:pPr>
      <w:bookmarkStart w:id="0" w:name="the-carbon-footprint-of-air-connectivity"/>
      <w:r>
        <w:t>The Carbon Footprint of Air Connectivity</w:t>
      </w:r>
    </w:p>
    <w:p w14:paraId="786DAA67" w14:textId="77777777" w:rsidR="00F61D46" w:rsidRDefault="00000000">
      <w:pPr>
        <w:pStyle w:val="2"/>
      </w:pPr>
      <w:bookmarkStart w:id="1" w:name="Xe1013a9a8244926ff51fb8883d3b62aace7796d"/>
      <w:r>
        <w:t>Network Position and the Carbon Cost of Global Aviation, 1996–2023</w:t>
      </w:r>
    </w:p>
    <w:p w14:paraId="1E9C9E00" w14:textId="77777777" w:rsidR="00441732" w:rsidRDefault="00000000">
      <w:pPr>
        <w:pStyle w:val="FirstParagraph"/>
      </w:pPr>
      <w:r>
        <w:rPr>
          <w:b/>
          <w:bCs/>
        </w:rPr>
        <w:t>Date:</w:t>
      </w:r>
      <w:r>
        <w:t xml:space="preserve"> 2026-08-09 </w:t>
      </w:r>
      <w:r>
        <w:rPr>
          <w:b/>
          <w:bCs/>
        </w:rPr>
        <w:t>Lead:</w:t>
      </w:r>
      <w:r>
        <w:t xml:space="preserve"> Sunbin Yoo</w:t>
      </w:r>
    </w:p>
    <w:p w14:paraId="222F3212" w14:textId="4D1E4DD4" w:rsidR="00F61D46" w:rsidRDefault="00000000">
      <w:pPr>
        <w:pStyle w:val="FirstParagraph"/>
      </w:pPr>
      <w:r>
        <w:rPr>
          <w:b/>
          <w:bCs/>
        </w:rPr>
        <w:t>Companion paper:</w:t>
      </w:r>
      <w:r>
        <w:t xml:space="preserve"> </w:t>
      </w:r>
      <w:r>
        <w:rPr>
          <w:i/>
          <w:iCs/>
        </w:rPr>
        <w:t>Global Air Connectivity and Trade Openness, 1996–2023</w:t>
      </w:r>
      <w:r>
        <w:t xml:space="preserve"> (GACI–trade manuscript, TR-A submission) </w:t>
      </w:r>
      <w:r>
        <w:rPr>
          <w:b/>
          <w:bCs/>
        </w:rPr>
        <w:t>Data:</w:t>
      </w:r>
      <w:r>
        <w:t xml:space="preserve"> GACI country panel (184 countries × 1996–2023, </w:t>
      </w:r>
      <w:r>
        <w:rPr>
          <w:rStyle w:val="VerbatimChar"/>
        </w:rPr>
        <w:t>gaci_panel.csv</w:t>
      </w:r>
      <w:r>
        <w:t>) + EDGAR aviation CO₂ (to be constructed)</w:t>
      </w:r>
    </w:p>
    <w:p w14:paraId="07A0B1BC" w14:textId="77777777" w:rsidR="00F61D46" w:rsidRDefault="00E82702">
      <w:r>
        <w:rPr>
          <w:noProof/>
        </w:rPr>
      </w:r>
      <w:r>
        <w:pict w14:anchorId="68CCF1B1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CF40EE" w14:textId="77777777" w:rsidR="00F61D46" w:rsidRDefault="00000000">
      <w:pPr>
        <w:pStyle w:val="2"/>
      </w:pPr>
      <w:bookmarkStart w:id="2" w:name="motivation"/>
      <w:bookmarkEnd w:id="1"/>
      <w:r>
        <w:t>1. Motivation</w:t>
      </w:r>
    </w:p>
    <w:p w14:paraId="3BFAB6D0" w14:textId="77777777" w:rsidR="00F61D46" w:rsidRDefault="00000000">
      <w:pPr>
        <w:pStyle w:val="FirstParagraph"/>
      </w:pPr>
      <w:r>
        <w:t xml:space="preserve">Our companion paper establishes the </w:t>
      </w:r>
      <w:r>
        <w:rPr>
          <w:b/>
          <w:bCs/>
        </w:rPr>
        <w:t>benefit side</w:t>
      </w:r>
      <w:r>
        <w:t xml:space="preserve"> of global air connectivity: instrumented by heritage-driven tourism demand, a 1% improvement in national hub quality raises goods-trade volume by 2.3%, and two decades of connectivity growth account for roughly $7.8 trillion of 2023 goods trade. This project quantifies the </w:t>
      </w:r>
      <w:r>
        <w:rPr>
          <w:b/>
          <w:bCs/>
        </w:rPr>
        <w:t>cost side of the same ledger</w:t>
      </w:r>
      <w:r>
        <w:t>: the carbon emitted to produce that connectivity.</w:t>
      </w:r>
    </w:p>
    <w:p w14:paraId="1C4426ED" w14:textId="77777777" w:rsidR="00F61D46" w:rsidRDefault="00000000">
      <w:pPr>
        <w:pStyle w:val="a0"/>
      </w:pPr>
      <w:r>
        <w:t xml:space="preserve">The question is </w:t>
      </w:r>
      <w:r>
        <w:rPr>
          <w:i/>
          <w:iCs/>
        </w:rPr>
        <w:t>not</w:t>
      </w:r>
      <w:r>
        <w:t xml:space="preserve"> whether flying emits CO₂ — it trivially does. The question is whether </w:t>
      </w:r>
      <w:r>
        <w:rPr>
          <w:b/>
          <w:bCs/>
        </w:rPr>
        <w:t>connectivity is carbon-efficient</w:t>
      </w:r>
      <w:r>
        <w:t xml:space="preserve">. GACI measures a country’s </w:t>
      </w:r>
      <w:r>
        <w:rPr>
          <w:i/>
          <w:iCs/>
        </w:rPr>
        <w:t>network position</w:t>
      </w:r>
      <w:r>
        <w:t xml:space="preserve"> (centrality, reach, hub standing), not its traffic volume: two countries with identical seat-kilometres can occupy very different positions in the world network. Whether a unit of network position costs more or less than a unit of emissions — and whether the answer depends on </w:t>
      </w:r>
      <w:r>
        <w:rPr>
          <w:i/>
          <w:iCs/>
        </w:rPr>
        <w:t>how</w:t>
      </w:r>
      <w:r>
        <w:t xml:space="preserve"> connectivity is built (hub concentration versus airport proliferation) — is an open empirical question with direct policy content. Governments subsidise routes and build airports to buy connectivity; no one has priced that purchase in carbon.</w:t>
      </w:r>
    </w:p>
    <w:p w14:paraId="7D961202" w14:textId="77777777" w:rsidR="00F61D46" w:rsidRDefault="00000000">
      <w:pPr>
        <w:pStyle w:val="a0"/>
      </w:pPr>
      <w:r>
        <w:t>Three features make this a low-cost, high-payoff companion study:</w:t>
      </w:r>
    </w:p>
    <w:p w14:paraId="013DD49C" w14:textId="77777777" w:rsidR="00F61D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entire empirical apparatus already exists.</w:t>
      </w:r>
      <w:r>
        <w:t xml:space="preserve"> Panel, instrument, fixed-effects structure, heterogeneity moderators, COVID shock module, and counterfactual code carry over from the trade paper; only the outcome variable is new.</w:t>
      </w:r>
    </w:p>
    <w:p w14:paraId="3C121E24" w14:textId="77777777" w:rsidR="00F61D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identification concern is weaker, not stronger.</w:t>
      </w:r>
      <w:r>
        <w:t xml:space="preserve"> Reverse causality from a country’s aviation emissions to its network position is implausible; the IV serves as reinforcement rather than rescue, and OLS/2SLS are reported side by side.</w:t>
      </w:r>
    </w:p>
    <w:p w14:paraId="1E1B3122" w14:textId="77777777" w:rsidR="00F61D4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policy translation is immediate.</w:t>
      </w:r>
      <w:r>
        <w:t xml:space="preserve"> An estimated connectivity–CO₂ elasticity converts directly into (i) the implicit abatement cost of connectivity cuts (COVID 2020), and (ii) the SAF blending trajectory required to offset projected connectivity growth (ReFuelEU / CORSIA scenarios).</w:t>
      </w:r>
    </w:p>
    <w:p w14:paraId="1438B36E" w14:textId="77777777" w:rsidR="00F61D46" w:rsidRDefault="00000000">
      <w:pPr>
        <w:pStyle w:val="2"/>
      </w:pPr>
      <w:bookmarkStart w:id="3" w:name="research-questions"/>
      <w:bookmarkEnd w:id="2"/>
      <w:r>
        <w:lastRenderedPageBreak/>
        <w:t>2. Research Questions</w:t>
      </w:r>
    </w:p>
    <w:p w14:paraId="5E4840C6" w14:textId="77777777" w:rsidR="00F61D46" w:rsidRDefault="00000000">
      <w:pPr>
        <w:pStyle w:val="FirstParagraph"/>
      </w:pPr>
      <w:r>
        <w:rPr>
          <w:b/>
          <w:bCs/>
        </w:rPr>
        <w:t>RQ0 (headline).</w:t>
      </w:r>
      <w:r>
        <w:t xml:space="preserve"> What is the carbon price of air connectivity — the elasticity of national aviation CO₂ with respect to network position — and does network </w:t>
      </w:r>
      <w:r>
        <w:rPr>
          <w:i/>
          <w:iCs/>
        </w:rPr>
        <w:t>structure</w:t>
      </w:r>
      <w:r>
        <w:t xml:space="preserve"> change that price?</w:t>
      </w:r>
    </w:p>
    <w:p w14:paraId="14E9E684" w14:textId="77777777" w:rsidR="00F61D46" w:rsidRDefault="00000000">
      <w:pPr>
        <w:pStyle w:val="a0"/>
      </w:pPr>
      <w:r>
        <w:rPr>
          <w:b/>
          <w:bCs/>
        </w:rPr>
        <w:t>RQ1 — Efficiency.</w:t>
      </w:r>
      <w:r>
        <w:t xml:space="preserve"> Is the CO₂–connectivity elasticity below or above unity? β &lt; 1 means network-position gains outrun emissions (hub-and-spoke consolidation creates connections faster than flights); β &gt; 1 means the pursuit of connectivity amplifies emissions.</w:t>
      </w:r>
    </w:p>
    <w:p w14:paraId="6C3D0FB8" w14:textId="77777777" w:rsidR="00F61D46" w:rsidRDefault="00000000">
      <w:pPr>
        <w:pStyle w:val="a0"/>
      </w:pPr>
      <w:r>
        <w:rPr>
          <w:b/>
          <w:bCs/>
        </w:rPr>
        <w:t>RQ2 — Structure.</w:t>
      </w:r>
      <w:r>
        <w:t xml:space="preserve"> Which growth path is carbon-cheaper per unit of connectivity: hub-quality deepening (GACI_cwm, GACI_max) or airport-system expansion (GACI_sum)? This takes the hub-and-spoke versus point-to-point decarbonisation debate to a global country panel.</w:t>
      </w:r>
    </w:p>
    <w:p w14:paraId="7D9107C4" w14:textId="77777777" w:rsidR="00F61D46" w:rsidRDefault="00000000">
      <w:pPr>
        <w:pStyle w:val="a0"/>
      </w:pPr>
      <w:r>
        <w:rPr>
          <w:b/>
          <w:bCs/>
        </w:rPr>
        <w:t>RQ3 — Distribution and timing.</w:t>
      </w:r>
      <w:r>
        <w:t xml:space="preserve"> Who faces the highest carbon price of connectivity — by baseline income, baseline connectivity, remoteness — and did the price fall after 2010 (fleet renewal, load-factor gains, Gulf/Asian hub expansion)?</w:t>
      </w:r>
    </w:p>
    <w:p w14:paraId="3FE3E90F" w14:textId="77777777" w:rsidR="00F61D46" w:rsidRDefault="00000000">
      <w:pPr>
        <w:pStyle w:val="2"/>
      </w:pPr>
      <w:bookmarkStart w:id="4" w:name="hypotheses"/>
      <w:bookmarkEnd w:id="3"/>
      <w:r>
        <w:t>3. Hypotheses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D46" w14:paraId="49B3B13D" w14:textId="77777777" w:rsidTr="00F61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70ABDC" w14:textId="77777777" w:rsidR="00F61D46" w:rsidRDefault="00F61D46">
            <w:pPr>
              <w:pStyle w:val="Compact"/>
            </w:pPr>
          </w:p>
        </w:tc>
        <w:tc>
          <w:tcPr>
            <w:tcW w:w="2640" w:type="dxa"/>
          </w:tcPr>
          <w:p w14:paraId="6E7DCE5E" w14:textId="77777777" w:rsidR="00F61D46" w:rsidRDefault="00000000">
            <w:pPr>
              <w:pStyle w:val="Compact"/>
            </w:pPr>
            <w:r>
              <w:t>Hypothesis</w:t>
            </w:r>
          </w:p>
        </w:tc>
        <w:tc>
          <w:tcPr>
            <w:tcW w:w="2640" w:type="dxa"/>
          </w:tcPr>
          <w:p w14:paraId="6B62D5DF" w14:textId="77777777" w:rsidR="00F61D46" w:rsidRDefault="00000000">
            <w:pPr>
              <w:pStyle w:val="Compact"/>
            </w:pPr>
            <w:r>
              <w:t>Test</w:t>
            </w:r>
          </w:p>
        </w:tc>
      </w:tr>
      <w:tr w:rsidR="00F61D46" w14:paraId="1EC59BF8" w14:textId="77777777">
        <w:tc>
          <w:tcPr>
            <w:tcW w:w="2640" w:type="dxa"/>
          </w:tcPr>
          <w:p w14:paraId="0DA35A4A" w14:textId="77777777" w:rsidR="00F61D46" w:rsidRDefault="00000000">
            <w:pPr>
              <w:pStyle w:val="Compact"/>
            </w:pPr>
            <w:r>
              <w:rPr>
                <w:b/>
                <w:bCs/>
              </w:rPr>
              <w:t>H1</w:t>
            </w:r>
          </w:p>
        </w:tc>
        <w:tc>
          <w:tcPr>
            <w:tcW w:w="2640" w:type="dxa"/>
          </w:tcPr>
          <w:p w14:paraId="4ECB764A" w14:textId="77777777" w:rsidR="00F61D46" w:rsidRDefault="00000000">
            <w:pPr>
              <w:pStyle w:val="Compact"/>
            </w:pPr>
            <w:r>
              <w:t xml:space="preserve">Connectivity causally raises aviation CO₂, with elasticity </w:t>
            </w:r>
            <w:r>
              <w:rPr>
                <w:b/>
                <w:bCs/>
              </w:rPr>
              <w:t>different from 1</w:t>
            </w:r>
            <w:r>
              <w:t xml:space="preserve"> (direction left open ex ante; β &lt; 1 ⇒ carbon-efficient network growth, β &gt; 1 ⇒ carbon-amplifying)</w:t>
            </w:r>
          </w:p>
        </w:tc>
        <w:tc>
          <w:tcPr>
            <w:tcW w:w="2640" w:type="dxa"/>
          </w:tcPr>
          <w:p w14:paraId="6E85D191" w14:textId="77777777" w:rsidR="00F61D46" w:rsidRDefault="00000000">
            <w:pPr>
              <w:pStyle w:val="Compact"/>
            </w:pPr>
            <w:r>
              <w:t>Main 2SLS; Wald test H₀: β = 1</w:t>
            </w:r>
          </w:p>
        </w:tc>
      </w:tr>
      <w:tr w:rsidR="00F61D46" w14:paraId="2CF820B8" w14:textId="77777777">
        <w:tc>
          <w:tcPr>
            <w:tcW w:w="2640" w:type="dxa"/>
          </w:tcPr>
          <w:p w14:paraId="1DFD28FA" w14:textId="77777777" w:rsidR="00F61D46" w:rsidRDefault="00000000">
            <w:pPr>
              <w:pStyle w:val="Compact"/>
            </w:pPr>
            <w:r>
              <w:rPr>
                <w:b/>
                <w:bCs/>
              </w:rPr>
              <w:t>H2</w:t>
            </w:r>
          </w:p>
        </w:tc>
        <w:tc>
          <w:tcPr>
            <w:tcW w:w="2640" w:type="dxa"/>
          </w:tcPr>
          <w:p w14:paraId="1419B4EC" w14:textId="77777777" w:rsidR="00F61D46" w:rsidRDefault="00000000">
            <w:pPr>
              <w:pStyle w:val="Compact"/>
            </w:pPr>
            <w:r>
              <w:t xml:space="preserve">Hub-quality growth (cwm/max) carries a </w:t>
            </w:r>
            <w:r>
              <w:rPr>
                <w:b/>
                <w:bCs/>
              </w:rPr>
              <w:t>lower</w:t>
            </w:r>
            <w:r>
              <w:t xml:space="preserve"> CO₂ elasticity than airport-proliferation growth (sum): hub-and-spoke is the low-carbon path to connectivity</w:t>
            </w:r>
          </w:p>
        </w:tc>
        <w:tc>
          <w:tcPr>
            <w:tcW w:w="2640" w:type="dxa"/>
          </w:tcPr>
          <w:p w14:paraId="393E7AC1" w14:textId="77777777" w:rsidR="00F61D46" w:rsidRDefault="00000000">
            <w:pPr>
              <w:pStyle w:val="Compact"/>
            </w:pPr>
            <w:r>
              <w:t>Cross-panel comparison of β across the three GACI measures (stacked regression / SUR for SE of the difference)</w:t>
            </w:r>
          </w:p>
        </w:tc>
      </w:tr>
      <w:tr w:rsidR="00F61D46" w14:paraId="08857714" w14:textId="77777777">
        <w:tc>
          <w:tcPr>
            <w:tcW w:w="2640" w:type="dxa"/>
          </w:tcPr>
          <w:p w14:paraId="460C0E2E" w14:textId="77777777" w:rsidR="00F61D46" w:rsidRDefault="00000000">
            <w:pPr>
              <w:pStyle w:val="Compact"/>
            </w:pPr>
            <w:r>
              <w:rPr>
                <w:b/>
                <w:bCs/>
              </w:rPr>
              <w:t>H3</w:t>
            </w:r>
          </w:p>
        </w:tc>
        <w:tc>
          <w:tcPr>
            <w:tcW w:w="2640" w:type="dxa"/>
          </w:tcPr>
          <w:p w14:paraId="5788E4A9" w14:textId="77777777" w:rsidR="00F61D46" w:rsidRDefault="00000000">
            <w:pPr>
              <w:pStyle w:val="Compact"/>
            </w:pPr>
            <w:r>
              <w:t xml:space="preserve">The carbon price of connectivity </w:t>
            </w:r>
            <w:r>
              <w:rPr>
                <w:b/>
                <w:bCs/>
              </w:rPr>
              <w:t>fell after 2010</w:t>
            </w:r>
            <w:r>
              <w:t xml:space="preserve"> (fleet and load-factor efficiency era)</w:t>
            </w:r>
          </w:p>
        </w:tc>
        <w:tc>
          <w:tcPr>
            <w:tcW w:w="2640" w:type="dxa"/>
          </w:tcPr>
          <w:p w14:paraId="39B8FB17" w14:textId="77777777" w:rsidR="00F61D46" w:rsidRDefault="00000000">
            <w:pPr>
              <w:pStyle w:val="Compact"/>
            </w:pPr>
            <w:r>
              <w:t>Post-2010 interaction</w:t>
            </w:r>
          </w:p>
        </w:tc>
      </w:tr>
      <w:tr w:rsidR="00F61D46" w14:paraId="0C90D23B" w14:textId="77777777">
        <w:tc>
          <w:tcPr>
            <w:tcW w:w="2640" w:type="dxa"/>
          </w:tcPr>
          <w:p w14:paraId="0335E5F4" w14:textId="77777777" w:rsidR="00F61D46" w:rsidRDefault="00000000">
            <w:pPr>
              <w:pStyle w:val="Compact"/>
            </w:pPr>
            <w:r>
              <w:rPr>
                <w:b/>
                <w:bCs/>
              </w:rPr>
              <w:t>H4</w:t>
            </w:r>
          </w:p>
        </w:tc>
        <w:tc>
          <w:tcPr>
            <w:tcW w:w="2640" w:type="dxa"/>
          </w:tcPr>
          <w:p w14:paraId="45C37125" w14:textId="77777777" w:rsidR="00F61D46" w:rsidRDefault="00000000">
            <w:pPr>
              <w:pStyle w:val="Compact"/>
            </w:pPr>
            <w:r>
              <w:t xml:space="preserve">Poorer, more remote, less-connected countries obtain </w:t>
            </w:r>
            <w:r>
              <w:rPr>
                <w:b/>
                <w:bCs/>
              </w:rPr>
              <w:t>more connectivity per tonne of CO₂</w:t>
            </w:r>
            <w:r>
              <w:t xml:space="preserve"> — so uniform aviation-carbon regulation </w:t>
            </w:r>
            <w:r>
              <w:lastRenderedPageBreak/>
              <w:t>(CORSIA-type) is regressive</w:t>
            </w:r>
          </w:p>
        </w:tc>
        <w:tc>
          <w:tcPr>
            <w:tcW w:w="2640" w:type="dxa"/>
          </w:tcPr>
          <w:p w14:paraId="75D8786D" w14:textId="77777777" w:rsidR="00F61D46" w:rsidRDefault="00000000">
            <w:pPr>
              <w:pStyle w:val="Compact"/>
            </w:pPr>
            <w:r>
              <w:lastRenderedPageBreak/>
              <w:t xml:space="preserve">Interaction-IV with baseline income, baseline connectivity, remoteness; cross-read with the trade paper’s openness </w:t>
            </w:r>
            <w:r>
              <w:lastRenderedPageBreak/>
              <w:t>elasticities</w:t>
            </w:r>
          </w:p>
        </w:tc>
      </w:tr>
    </w:tbl>
    <w:p w14:paraId="2ADDD2D0" w14:textId="77777777" w:rsidR="00F61D46" w:rsidRDefault="00000000">
      <w:pPr>
        <w:pStyle w:val="a0"/>
      </w:pPr>
      <w:r>
        <w:rPr>
          <w:i/>
          <w:iCs/>
        </w:rPr>
        <w:lastRenderedPageBreak/>
        <w:t>Note on H1:</w:t>
      </w:r>
      <w:r>
        <w:t xml:space="preserve"> the hypothesis is registered as β ≠ 1 with the direction left open. Either sign sustains the paper — β &lt; 1 is a network-efficiency finding, β &gt; 1 is a carbon-amplification finding.</w:t>
      </w:r>
    </w:p>
    <w:p w14:paraId="1AED43F1" w14:textId="77777777" w:rsidR="00F61D46" w:rsidRDefault="00000000">
      <w:pPr>
        <w:pStyle w:val="2"/>
      </w:pPr>
      <w:bookmarkStart w:id="5" w:name="data"/>
      <w:bookmarkEnd w:id="4"/>
      <w:r>
        <w:t>4. Data</w:t>
      </w:r>
    </w:p>
    <w:p w14:paraId="1B5427E1" w14:textId="77777777" w:rsidR="00F61D46" w:rsidRDefault="00000000">
      <w:pPr>
        <w:pStyle w:val="3"/>
      </w:pPr>
      <w:bookmarkStart w:id="6" w:name="X0d8fbefbd46a9771cb7cef1d37e3ea800ae6190"/>
      <w:r>
        <w:t>4.1 Carried over from the companion paper (complete)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D46" w14:paraId="6B421EAC" w14:textId="77777777" w:rsidTr="00F61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8AA67A" w14:textId="77777777" w:rsidR="00F61D46" w:rsidRDefault="00000000">
            <w:pPr>
              <w:pStyle w:val="Compact"/>
            </w:pPr>
            <w:r>
              <w:t>Variable</w:t>
            </w:r>
          </w:p>
        </w:tc>
        <w:tc>
          <w:tcPr>
            <w:tcW w:w="2640" w:type="dxa"/>
          </w:tcPr>
          <w:p w14:paraId="10215198" w14:textId="77777777" w:rsidR="00F61D46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6943DB54" w14:textId="77777777" w:rsidR="00F61D46" w:rsidRDefault="00000000">
            <w:pPr>
              <w:pStyle w:val="Compact"/>
            </w:pPr>
            <w:r>
              <w:t>Source</w:t>
            </w:r>
          </w:p>
        </w:tc>
      </w:tr>
      <w:tr w:rsidR="00F61D46" w14:paraId="32730D3B" w14:textId="77777777">
        <w:tc>
          <w:tcPr>
            <w:tcW w:w="2640" w:type="dxa"/>
          </w:tcPr>
          <w:p w14:paraId="629FA1AC" w14:textId="77777777" w:rsidR="00F61D46" w:rsidRDefault="00000000">
            <w:pPr>
              <w:pStyle w:val="Compact"/>
            </w:pPr>
            <w:r>
              <w:t>ln GACI_cwm / GACI_max / GACI_sum</w:t>
            </w:r>
          </w:p>
        </w:tc>
        <w:tc>
          <w:tcPr>
            <w:tcW w:w="2640" w:type="dxa"/>
          </w:tcPr>
          <w:p w14:paraId="210A209F" w14:textId="77777777" w:rsidR="00F61D46" w:rsidRDefault="00000000">
            <w:pPr>
              <w:pStyle w:val="Compact"/>
            </w:pPr>
            <w:r>
              <w:t>Treatment (3 measures)</w:t>
            </w:r>
          </w:p>
        </w:tc>
        <w:tc>
          <w:tcPr>
            <w:tcW w:w="2640" w:type="dxa"/>
          </w:tcPr>
          <w:p w14:paraId="1C924523" w14:textId="77777777" w:rsidR="00F61D46" w:rsidRDefault="00000000">
            <w:pPr>
              <w:pStyle w:val="Compact"/>
            </w:pPr>
            <w:r>
              <w:rPr>
                <w:rStyle w:val="VerbatimChar"/>
              </w:rPr>
              <w:t>gaci_panel.csv</w:t>
            </w:r>
          </w:p>
        </w:tc>
      </w:tr>
      <w:tr w:rsidR="00F61D46" w14:paraId="25537314" w14:textId="77777777">
        <w:tc>
          <w:tcPr>
            <w:tcW w:w="2640" w:type="dxa"/>
          </w:tcPr>
          <w:p w14:paraId="02CF6F26" w14:textId="77777777" w:rsidR="00F61D46" w:rsidRDefault="00000000">
            <w:pPr>
              <w:pStyle w:val="Compact"/>
            </w:pPr>
            <w:r>
              <w:t>tourism_int = global tourist arrivals (min–max) × ln(1 + natural+mixed UNESCO sites)</w:t>
            </w:r>
          </w:p>
        </w:tc>
        <w:tc>
          <w:tcPr>
            <w:tcW w:w="2640" w:type="dxa"/>
          </w:tcPr>
          <w:p w14:paraId="6AE7A8B1" w14:textId="77777777" w:rsidR="00F61D46" w:rsidRDefault="00000000">
            <w:pPr>
              <w:pStyle w:val="Compact"/>
            </w:pPr>
            <w:r>
              <w:rPr>
                <w:b/>
                <w:bCs/>
              </w:rPr>
              <w:t>Instrument (fixed, as decided — identical to trade paper, Eq. 7)</w:t>
            </w:r>
          </w:p>
        </w:tc>
        <w:tc>
          <w:tcPr>
            <w:tcW w:w="2640" w:type="dxa"/>
          </w:tcPr>
          <w:p w14:paraId="543F8EBB" w14:textId="77777777" w:rsidR="00F61D46" w:rsidRDefault="00000000">
            <w:pPr>
              <w:pStyle w:val="Compact"/>
            </w:pPr>
            <w:r>
              <w:rPr>
                <w:rStyle w:val="VerbatimChar"/>
              </w:rPr>
              <w:t>gaci_panel.csv</w:t>
            </w:r>
          </w:p>
        </w:tc>
      </w:tr>
      <w:tr w:rsidR="00F61D46" w14:paraId="6AFBD60F" w14:textId="77777777">
        <w:tc>
          <w:tcPr>
            <w:tcW w:w="2640" w:type="dxa"/>
          </w:tcPr>
          <w:p w14:paraId="0D728343" w14:textId="77777777" w:rsidR="00F61D46" w:rsidRDefault="00000000">
            <w:pPr>
              <w:pStyle w:val="Compact"/>
            </w:pPr>
            <w:r>
              <w:t>ln population; country FE; year FE</w:t>
            </w:r>
          </w:p>
        </w:tc>
        <w:tc>
          <w:tcPr>
            <w:tcW w:w="2640" w:type="dxa"/>
          </w:tcPr>
          <w:p w14:paraId="7D224F44" w14:textId="77777777" w:rsidR="00F61D46" w:rsidRDefault="00000000">
            <w:pPr>
              <w:pStyle w:val="Compact"/>
            </w:pPr>
            <w:r>
              <w:t>Controls</w:t>
            </w:r>
          </w:p>
        </w:tc>
        <w:tc>
          <w:tcPr>
            <w:tcW w:w="2640" w:type="dxa"/>
          </w:tcPr>
          <w:p w14:paraId="2847F12B" w14:textId="77777777" w:rsidR="00F61D46" w:rsidRDefault="00000000">
            <w:pPr>
              <w:pStyle w:val="Compact"/>
            </w:pPr>
            <w:r>
              <w:rPr>
                <w:rStyle w:val="VerbatimChar"/>
              </w:rPr>
              <w:t>gaci_panel.csv</w:t>
            </w:r>
          </w:p>
        </w:tc>
      </w:tr>
      <w:tr w:rsidR="00F61D46" w14:paraId="51AC953A" w14:textId="77777777">
        <w:tc>
          <w:tcPr>
            <w:tcW w:w="2640" w:type="dxa"/>
          </w:tcPr>
          <w:p w14:paraId="5A4FFCAD" w14:textId="77777777" w:rsidR="00F61D46" w:rsidRDefault="00000000">
            <w:pPr>
              <w:pStyle w:val="Compact"/>
            </w:pPr>
            <w:r>
              <w:t>Baseline income, baseline connectivity (1996), ln mean sea distance (CERDI)</w:t>
            </w:r>
          </w:p>
        </w:tc>
        <w:tc>
          <w:tcPr>
            <w:tcW w:w="2640" w:type="dxa"/>
          </w:tcPr>
          <w:p w14:paraId="499D6305" w14:textId="77777777" w:rsidR="00F61D46" w:rsidRDefault="00000000">
            <w:pPr>
              <w:pStyle w:val="Compact"/>
            </w:pPr>
            <w:r>
              <w:t>Moderators</w:t>
            </w:r>
          </w:p>
        </w:tc>
        <w:tc>
          <w:tcPr>
            <w:tcW w:w="2640" w:type="dxa"/>
          </w:tcPr>
          <w:p w14:paraId="35EC9F6B" w14:textId="77777777" w:rsidR="00F61D46" w:rsidRDefault="00000000">
            <w:pPr>
              <w:pStyle w:val="Compact"/>
            </w:pPr>
            <w:r>
              <w:rPr>
                <w:rStyle w:val="VerbatimChar"/>
              </w:rPr>
              <w:t>gaci_panel_hetero.csv</w:t>
            </w:r>
          </w:p>
        </w:tc>
      </w:tr>
      <w:tr w:rsidR="00F61D46" w14:paraId="347ABD1B" w14:textId="77777777">
        <w:tc>
          <w:tcPr>
            <w:tcW w:w="2640" w:type="dxa"/>
          </w:tcPr>
          <w:p w14:paraId="64E5A53D" w14:textId="77777777" w:rsidR="00F61D46" w:rsidRDefault="00000000">
            <w:pPr>
              <w:pStyle w:val="Compact"/>
            </w:pPr>
            <w:r>
              <w:t>Number of airports with scheduled service</w:t>
            </w:r>
          </w:p>
        </w:tc>
        <w:tc>
          <w:tcPr>
            <w:tcW w:w="2640" w:type="dxa"/>
          </w:tcPr>
          <w:p w14:paraId="590106D3" w14:textId="77777777" w:rsidR="00F61D46" w:rsidRDefault="00000000">
            <w:pPr>
              <w:pStyle w:val="Compact"/>
            </w:pPr>
            <w:r>
              <w:t>Volume-control robustness</w:t>
            </w:r>
          </w:p>
        </w:tc>
        <w:tc>
          <w:tcPr>
            <w:tcW w:w="2640" w:type="dxa"/>
          </w:tcPr>
          <w:p w14:paraId="176FBB8D" w14:textId="77777777" w:rsidR="00F61D46" w:rsidRDefault="00000000">
            <w:pPr>
              <w:pStyle w:val="Compact"/>
            </w:pPr>
            <w:r>
              <w:rPr>
                <w:rStyle w:val="VerbatimChar"/>
              </w:rPr>
              <w:t>gaci_panel.csv</w:t>
            </w:r>
          </w:p>
        </w:tc>
      </w:tr>
    </w:tbl>
    <w:p w14:paraId="63B58714" w14:textId="77777777" w:rsidR="00F61D46" w:rsidRDefault="00000000">
      <w:pPr>
        <w:pStyle w:val="3"/>
      </w:pPr>
      <w:bookmarkStart w:id="7" w:name="Xd62436d237ffa5fc2722134da42f62b58f6266b"/>
      <w:bookmarkEnd w:id="6"/>
      <w:r>
        <w:t>4.2 New outcome: country-year aviation CO₂ (the one construction task)</w:t>
      </w:r>
    </w:p>
    <w:p w14:paraId="460BF50A" w14:textId="77777777" w:rsidR="00F61D46" w:rsidRDefault="00000000">
      <w:pPr>
        <w:pStyle w:val="FirstParagraph"/>
      </w:pPr>
      <w:r>
        <w:t>Two-tier construction from EDGAR:</w:t>
      </w:r>
    </w:p>
    <w:p w14:paraId="53C45440" w14:textId="77777777" w:rsidR="00F61D4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(a) Domestic aviation</w:t>
      </w:r>
      <w:r>
        <w:t xml:space="preserve"> (IPCC 1.A.3.a): EDGAR country-year time series, used as reported.</w:t>
      </w:r>
    </w:p>
    <w:p w14:paraId="2DE1105D" w14:textId="77777777" w:rsidR="00F61D4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(b) International aviation</w:t>
      </w:r>
      <w:r>
        <w:t xml:space="preserve">: excluded from EDGAR national totals by bunker-fuel convention — but GACI is predominantly </w:t>
      </w:r>
      <w:r>
        <w:rPr>
          <w:i/>
          <w:iCs/>
        </w:rPr>
        <w:t>international</w:t>
      </w:r>
      <w:r>
        <w:t xml:space="preserve"> connectivity, so this tier is essential. Construction: overlay the </w:t>
      </w:r>
      <w:r>
        <w:rPr>
          <w:b/>
          <w:bCs/>
        </w:rPr>
        <w:t>EDGAR gridded (0.1°) aviation LTO (landing/take-off) sector</w:t>
      </w:r>
      <w:r>
        <w:t xml:space="preserve"> on our existing airport coordinates (</w:t>
      </w:r>
      <w:r>
        <w:rPr>
          <w:rStyle w:val="VerbatimChar"/>
        </w:rPr>
        <w:t>airport_coords_merged.csv</w:t>
      </w:r>
      <w:r>
        <w:t xml:space="preserve">), aggregate grid cells around airports to the country level. LTO emissions occur physically at the airport, so country attribution is defensible, and the treatment (airport-level GACI aggregated to country) and outcome share the same aggregation unit. </w:t>
      </w:r>
      <w:r>
        <w:rPr>
          <w:b/>
          <w:bCs/>
        </w:rPr>
        <w:t>This constructed series is itself a data contribution.</w:t>
      </w:r>
    </w:p>
    <w:p w14:paraId="2E3D95F4" w14:textId="77777777" w:rsidR="00F61D4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Cross-validation / fallback:</w:t>
      </w:r>
      <w:r>
        <w:t xml:space="preserve"> IEA “international aviation bunkers” country series (fuel-sold basis) and Climate Watch aviation bunkers. If the EDGAR grid route fails, the bunker route is a measurement substitution, not a design change.</w:t>
      </w:r>
    </w:p>
    <w:p w14:paraId="0BAE8723" w14:textId="77777777" w:rsidR="00F61D46" w:rsidRDefault="00000000">
      <w:pPr>
        <w:pStyle w:val="3"/>
      </w:pPr>
      <w:bookmarkStart w:id="8" w:name="Xfad01baed62c7663a747cd1fc0fa6a8dffa416a"/>
      <w:bookmarkEnd w:id="7"/>
      <w:r>
        <w:lastRenderedPageBreak/>
        <w:t>4.3 Pre-construction verification checklist (do not finalise design before checking)</w:t>
      </w:r>
    </w:p>
    <w:p w14:paraId="418306DB" w14:textId="77777777" w:rsidR="00F61D46" w:rsidRDefault="00000000">
      <w:pPr>
        <w:pStyle w:val="Compact"/>
        <w:numPr>
          <w:ilvl w:val="0"/>
          <w:numId w:val="4"/>
        </w:numPr>
      </w:pPr>
      <w:r>
        <w:t>EDGAR latest release: does it separate aviation into LTO / CDS / CRS sectors, and at which resolution and frequency?</w:t>
      </w:r>
    </w:p>
    <w:p w14:paraId="5AAAE1CA" w14:textId="77777777" w:rsidR="00F61D46" w:rsidRDefault="00000000">
      <w:pPr>
        <w:pStyle w:val="Compact"/>
        <w:numPr>
          <w:ilvl w:val="0"/>
          <w:numId w:val="4"/>
        </w:numPr>
      </w:pPr>
      <w:r>
        <w:t>Coverage 1996–2023 for both country series and gridmaps (EDGAR historically starts 1970; confirm the current end year).</w:t>
      </w:r>
    </w:p>
    <w:p w14:paraId="68A4E13D" w14:textId="77777777" w:rsidR="00F61D46" w:rsidRDefault="00000000">
      <w:pPr>
        <w:pStyle w:val="Compact"/>
        <w:numPr>
          <w:ilvl w:val="0"/>
          <w:numId w:val="4"/>
        </w:numPr>
      </w:pPr>
      <w:r>
        <w:t xml:space="preserve">Units: confirm tonnes </w:t>
      </w:r>
      <w:r>
        <w:rPr>
          <w:b/>
          <w:bCs/>
        </w:rPr>
        <w:t>CO₂</w:t>
      </w:r>
      <w:r>
        <w:t>, not tonnes carbon (avoid the ODIAC ×44/12 trap).</w:t>
      </w:r>
    </w:p>
    <w:p w14:paraId="1861DFB7" w14:textId="77777777" w:rsidR="00F61D46" w:rsidRDefault="00000000">
      <w:pPr>
        <w:pStyle w:val="Compact"/>
        <w:numPr>
          <w:ilvl w:val="0"/>
          <w:numId w:val="4"/>
        </w:numPr>
      </w:pPr>
      <w:r>
        <w:t>Country coverage overlap with the 184-country estimation sample; report any attrition and re-run the trade-paper first stage on the matched sample before interpreting.</w:t>
      </w:r>
    </w:p>
    <w:p w14:paraId="7DD0414C" w14:textId="77777777" w:rsidR="00F61D46" w:rsidRDefault="00000000">
      <w:pPr>
        <w:pStyle w:val="Compact"/>
        <w:numPr>
          <w:ilvl w:val="0"/>
          <w:numId w:val="4"/>
        </w:numPr>
      </w:pPr>
      <w:r>
        <w:t>All SAF / policy figures in §7 (ReFuelEU trajectory, CORSIA baselines, SAF production volumes) to be reference-checked before drafting.</w:t>
      </w:r>
    </w:p>
    <w:p w14:paraId="39660E4D" w14:textId="77777777" w:rsidR="00F61D46" w:rsidRDefault="00000000">
      <w:pPr>
        <w:pStyle w:val="2"/>
      </w:pPr>
      <w:bookmarkStart w:id="9" w:name="empirical-strategy"/>
      <w:bookmarkEnd w:id="5"/>
      <w:bookmarkEnd w:id="8"/>
      <w:r>
        <w:t>5. Empirical Strategy</w:t>
      </w:r>
    </w:p>
    <w:p w14:paraId="1B3F6608" w14:textId="77777777" w:rsidR="00F61D46" w:rsidRDefault="00000000">
      <w:pPr>
        <w:pStyle w:val="3"/>
      </w:pPr>
      <w:bookmarkStart w:id="10" w:name="X74b37910184866314f77e87a357a391bee36768"/>
      <w:r>
        <w:t>5.1 Main specification (trade-paper Eqs. 1 &amp; 7, outcome swapped)</w:t>
      </w:r>
    </w:p>
    <w:p w14:paraId="6A3A1460" w14:textId="77777777" w:rsidR="00F61D46" w:rsidRDefault="00000000">
      <w:pPr>
        <w:pStyle w:val="FirstParagraph"/>
      </w:pPr>
      <w:r>
        <w:t>Second stage:</w:t>
      </w:r>
    </w:p>
    <w:p w14:paraId="512C8E0D" w14:textId="77777777" w:rsidR="00F61D46" w:rsidRDefault="00000000">
      <w:pPr>
        <w:pStyle w:val="a8"/>
      </w:pPr>
      <w:r>
        <w:t>ln CO₂ᵃⁱʳ_it = β · ln GACI_it + γ · ln pop_it + α_i + δ_t + ε_it</w:t>
      </w:r>
    </w:p>
    <w:p w14:paraId="35526722" w14:textId="77777777" w:rsidR="00F61D46" w:rsidRDefault="00000000">
      <w:pPr>
        <w:pStyle w:val="FirstParagraph"/>
      </w:pPr>
      <w:r>
        <w:t>First stage (instrument as decided — tourism–heritage shift-share):</w:t>
      </w:r>
    </w:p>
    <w:p w14:paraId="354B5819" w14:textId="77777777" w:rsidR="00F61D46" w:rsidRDefault="00000000">
      <w:pPr>
        <w:pStyle w:val="a8"/>
      </w:pPr>
      <w:r>
        <w:t>ln GACI_it = π₁ · tourism_int_it + π₂ · ln pop_it + μ_i + λ_t + ν_it</w:t>
      </w:r>
    </w:p>
    <w:p w14:paraId="267F7B45" w14:textId="77777777" w:rsidR="00F61D46" w:rsidRDefault="00000000">
      <w:pPr>
        <w:pStyle w:val="FirstParagraph"/>
      </w:pPr>
      <w:r>
        <w:t>Reporting format replicates the trade paper’s Table 2: three panels (cwm / max / sum), each with OLS, first stage (KP F), and 2SLS rows; heteroskedasticity-robust SEs.</w:t>
      </w:r>
    </w:p>
    <w:p w14:paraId="03A8C4C9" w14:textId="77777777" w:rsidR="00F61D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H1 test:</w:t>
      </w:r>
      <w:r>
        <w:t xml:space="preserve"> Wald test of β = 1 in the 2SLS row of each panel.</w:t>
      </w:r>
    </w:p>
    <w:p w14:paraId="7C9207C4" w14:textId="77777777" w:rsidR="00F61D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H2 test:</w:t>
      </w:r>
      <w:r>
        <w:t xml:space="preserve"> stacked regression across measures with interacted treatment, or SUR, to put a standard error on β_cwm − β_sum.</w:t>
      </w:r>
    </w:p>
    <w:p w14:paraId="0940E59D" w14:textId="77777777" w:rsidR="00F61D46" w:rsidRDefault="00000000">
      <w:pPr>
        <w:pStyle w:val="3"/>
      </w:pPr>
      <w:bookmarkStart w:id="11" w:name="Xae5630548899eee441f23f79cdc3297180889d6"/>
      <w:bookmarkEnd w:id="10"/>
      <w:r>
        <w:t>5.2 Identification discussion (the genuinely new writing)</w:t>
      </w:r>
    </w:p>
    <w:p w14:paraId="19B571CF" w14:textId="77777777" w:rsidR="00F61D46" w:rsidRDefault="00000000">
      <w:pPr>
        <w:pStyle w:val="FirstParagraph"/>
      </w:pPr>
      <w:r>
        <w:t>With a CO₂ outcome the exclusion-restriction conversation changes:</w:t>
      </w:r>
    </w:p>
    <w:p w14:paraId="60DBC766" w14:textId="77777777" w:rsidR="00F61D4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Concern:</w:t>
      </w:r>
      <w:r>
        <w:t xml:space="preserve"> heritage-driven tourist flights emit CO₂ </w:t>
      </w:r>
      <w:r>
        <w:rPr>
          <w:i/>
          <w:iCs/>
        </w:rPr>
        <w:t>directly</w:t>
      </w:r>
      <w:r>
        <w:t xml:space="preserve">, not only through measured network position. </w:t>
      </w:r>
      <w:r>
        <w:rPr>
          <w:b/>
          <w:bCs/>
        </w:rPr>
        <w:t>Defence (i):</w:t>
      </w:r>
      <w:r>
        <w:t xml:space="preserve"> tourism-induced flights </w:t>
      </w:r>
      <w:r>
        <w:rPr>
          <w:i/>
          <w:iCs/>
        </w:rPr>
        <w:t>are</w:t>
      </w:r>
      <w:r>
        <w:t xml:space="preserve"> network connections; the channel is subsumed in GACI under a reduced-form reading (“the carbon footprint of exogenous connectivity”). </w:t>
      </w:r>
      <w:r>
        <w:rPr>
          <w:b/>
          <w:bCs/>
        </w:rPr>
        <w:t>Defence (ii) — volume-versus-position robustness:</w:t>
      </w:r>
      <w:r>
        <w:t xml:space="preserve"> add airport count (held variable) and, where available, seat/frequency proxies to the second stage. If β survives volume controls, the effect is network-structural; if it collapses onto volume, the paper honestly reports that connectivity’s carbon cost is a traffic phenomenon. Both readings are publishable; the design distinguishes them.</w:t>
      </w:r>
    </w:p>
    <w:p w14:paraId="6A7D6C8B" w14:textId="77777777" w:rsidR="00F61D4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Reverse causality</w:t>
      </w:r>
      <w:r>
        <w:t xml:space="preserve"> (emissions → network position) is implausible, so OLS and 2SLS are presented as co-equal evidence with the IV as reinforcement.</w:t>
      </w:r>
    </w:p>
    <w:p w14:paraId="68B9FE30" w14:textId="77777777" w:rsidR="00F61D46" w:rsidRDefault="00000000">
      <w:pPr>
        <w:pStyle w:val="Compact"/>
        <w:numPr>
          <w:ilvl w:val="0"/>
          <w:numId w:val="6"/>
        </w:numPr>
      </w:pPr>
      <w:r>
        <w:t>Carry over the trade paper’s falsification suite unchanged: pre-period placebo, alternative instruments (air/sea distance), over-identification tests.</w:t>
      </w:r>
    </w:p>
    <w:p w14:paraId="425974A5" w14:textId="77777777" w:rsidR="00F61D46" w:rsidRDefault="00000000">
      <w:pPr>
        <w:pStyle w:val="3"/>
      </w:pPr>
      <w:bookmarkStart w:id="12" w:name="X0c987c20a4392cbaa1f5898624cc7d2f0428490"/>
      <w:bookmarkEnd w:id="11"/>
      <w:r>
        <w:t>5.3 Heterogeneity and timing (trade-paper Eq. 8 structure)</w:t>
      </w:r>
    </w:p>
    <w:p w14:paraId="7CDCA56B" w14:textId="77777777" w:rsidR="00F61D46" w:rsidRDefault="00000000">
      <w:pPr>
        <w:pStyle w:val="FirstParagraph"/>
      </w:pPr>
      <w:r>
        <w:t xml:space="preserve">Interaction-IV with the three mean-centred moderators (baseline income, baseline connectivity, remoteness), both terms instrumented; post-2010 interaction for H3. Quartile figure replicated with CO₂ elasticities. Cross-reading H4 with the trade paper’s heterogeneity yields the distribution of </w:t>
      </w:r>
      <w:r>
        <w:rPr>
          <w:b/>
          <w:bCs/>
        </w:rPr>
        <w:t>“dollars of connectivity-induced trade per tonne of CO₂”</w:t>
      </w:r>
      <w:r>
        <w:t xml:space="preserve"> across country groups — the equity headline.</w:t>
      </w:r>
    </w:p>
    <w:p w14:paraId="37C30504" w14:textId="77777777" w:rsidR="00F61D46" w:rsidRDefault="00000000">
      <w:pPr>
        <w:pStyle w:val="3"/>
      </w:pPr>
      <w:bookmarkStart w:id="13" w:name="Xda99a6272316938fdaa4fdd788205d315e63108"/>
      <w:bookmarkEnd w:id="12"/>
      <w:r>
        <w:t>5.4 COVID module: the implicit abatement cost of connectivity cuts</w:t>
      </w:r>
    </w:p>
    <w:p w14:paraId="4FA429C4" w14:textId="77777777" w:rsidR="00F61D46" w:rsidRDefault="00000000">
      <w:pPr>
        <w:pStyle w:val="FirstParagraph"/>
      </w:pPr>
      <w:r>
        <w:t xml:space="preserve">The 2019–2020 collapse (connectivity fell in 140 of 177 countries) delivers observed aviation-CO₂ reductions alongside the companion paper’s $1.8 trillion trade disruption. Combining the two yields the </w:t>
      </w:r>
      <w:r>
        <w:rPr>
          <w:b/>
          <w:bCs/>
        </w:rPr>
        <w:t>implicit cost per tonne of CO₂ abated by cutting connectivity</w:t>
      </w:r>
      <w:r>
        <w:t xml:space="preserve"> — expected to be orders of magnitude above any carbon price, which is the empirical case for technology (SAF) over demand suppression. One headline number, one paragraph, already-built shock code.</w:t>
      </w:r>
    </w:p>
    <w:p w14:paraId="67E330B2" w14:textId="77777777" w:rsidR="00F61D46" w:rsidRDefault="00000000">
      <w:pPr>
        <w:pStyle w:val="2"/>
      </w:pPr>
      <w:bookmarkStart w:id="14" w:name="X98076cd45f494a3022b2f36778b77ec49da1e5e"/>
      <w:bookmarkEnd w:id="9"/>
      <w:bookmarkEnd w:id="13"/>
      <w:r>
        <w:t xml:space="preserve">6. SAF Scenario Section (policy translation — explicitly </w:t>
      </w:r>
      <w:r>
        <w:rPr>
          <w:i/>
          <w:iCs/>
        </w:rPr>
        <w:t>not</w:t>
      </w:r>
      <w:r>
        <w:t xml:space="preserve"> causal estimation)</w:t>
      </w:r>
    </w:p>
    <w:p w14:paraId="11D01D78" w14:textId="77777777" w:rsidR="00F61D46" w:rsidRDefault="00000000">
      <w:pPr>
        <w:pStyle w:val="FirstParagraph"/>
      </w:pPr>
      <w:r>
        <w:t>SAF adoption (≈0.1–0.3% of jet fuel through 2023; verify) is too small and too recent for panel identification; any DiD on mandate adoption would be underpowered and invite misreading. Instead, SAF enters as the concluding policy section that converts β̂ into forward-looking statements:</w:t>
      </w:r>
    </w:p>
    <w:p w14:paraId="78074148" w14:textId="77777777" w:rsidR="00F61D4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Projection:</w:t>
      </w:r>
      <w:r>
        <w:t xml:space="preserve"> β̂ × projected connectivity growth → aviation CO₂ paths to 2030/2050.</w:t>
      </w:r>
    </w:p>
    <w:p w14:paraId="49606C4E" w14:textId="77777777" w:rsidR="00F61D4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Offset trajectory:</w:t>
      </w:r>
      <w:r>
        <w:t xml:space="preserve"> overlay ReFuelEU blending mandates (2% in 2025 → 6% in 2030 → 70% in 2050) and CORSIA scenarios → the year at which the SAF roadmap offsets connectivity-driven emission growth, and the blending share required to hold emissions flat.</w:t>
      </w:r>
    </w:p>
    <w:p w14:paraId="1327BDA3" w14:textId="77777777" w:rsidR="00F61D4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Geographic mismatch (links to H4):</w:t>
      </w:r>
      <w:r>
        <w:t xml:space="preserve"> SAF supply concentrates at advanced-economy hubs while marginal emission growth concentrates in low-income/remote countries with the highest connectivity payoffs → distributional critique of uniform blending mandates.</w:t>
      </w:r>
    </w:p>
    <w:p w14:paraId="76A2CCC2" w14:textId="77777777" w:rsidR="00F61D4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COVID cross-check:</w:t>
      </w:r>
      <w:r>
        <w:t xml:space="preserve"> the SAF volume equivalent to the 2020 demand-suppression abatement — demand cuts versus fuel switching in one comparison.</w:t>
      </w:r>
    </w:p>
    <w:p w14:paraId="5E9637AB" w14:textId="77777777" w:rsidR="00F61D46" w:rsidRDefault="00000000">
      <w:pPr>
        <w:pStyle w:val="FirstParagraph"/>
      </w:pPr>
      <w:r>
        <w:t>All mandate trajectories and SAF production figures reference-checked before drafting (§4.3, item 5).</w:t>
      </w:r>
    </w:p>
    <w:p w14:paraId="43E28B70" w14:textId="77777777" w:rsidR="00F61D46" w:rsidRDefault="00000000">
      <w:pPr>
        <w:pStyle w:val="2"/>
      </w:pPr>
      <w:bookmarkStart w:id="15" w:name="planned-tables-and-figures"/>
      <w:bookmarkEnd w:id="14"/>
      <w:r>
        <w:lastRenderedPageBreak/>
        <w:t>7. Planned Tables and Figures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D46" w14:paraId="1781283C" w14:textId="77777777" w:rsidTr="00F61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0C2C3D" w14:textId="77777777" w:rsidR="00F61D46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1F0A1739" w14:textId="77777777" w:rsidR="00F61D46" w:rsidRDefault="00000000">
            <w:pPr>
              <w:pStyle w:val="Compact"/>
            </w:pPr>
            <w:r>
              <w:t>Content</w:t>
            </w:r>
          </w:p>
        </w:tc>
        <w:tc>
          <w:tcPr>
            <w:tcW w:w="2640" w:type="dxa"/>
          </w:tcPr>
          <w:p w14:paraId="6129B13C" w14:textId="77777777" w:rsidR="00F61D46" w:rsidRDefault="00000000">
            <w:pPr>
              <w:pStyle w:val="Compact"/>
            </w:pPr>
            <w:r>
              <w:t>Reuse of existing code</w:t>
            </w:r>
          </w:p>
        </w:tc>
      </w:tr>
      <w:tr w:rsidR="00F61D46" w14:paraId="32892E7C" w14:textId="77777777">
        <w:tc>
          <w:tcPr>
            <w:tcW w:w="2640" w:type="dxa"/>
          </w:tcPr>
          <w:p w14:paraId="50F14CAE" w14:textId="77777777" w:rsidR="00F61D46" w:rsidRDefault="00000000">
            <w:pPr>
              <w:pStyle w:val="Compact"/>
            </w:pPr>
            <w:r>
              <w:t>Table 1</w:t>
            </w:r>
          </w:p>
        </w:tc>
        <w:tc>
          <w:tcPr>
            <w:tcW w:w="2640" w:type="dxa"/>
          </w:tcPr>
          <w:p w14:paraId="5417829B" w14:textId="77777777" w:rsidR="00F61D46" w:rsidRDefault="00000000">
            <w:pPr>
              <w:pStyle w:val="Compact"/>
            </w:pPr>
            <w:r>
              <w:t>Summary statistics (+ aviation CO₂ rows)</w:t>
            </w:r>
          </w:p>
        </w:tc>
        <w:tc>
          <w:tcPr>
            <w:tcW w:w="2640" w:type="dxa"/>
          </w:tcPr>
          <w:p w14:paraId="24FA5485" w14:textId="77777777" w:rsidR="00F61D46" w:rsidRDefault="00000000">
            <w:pPr>
              <w:pStyle w:val="Compact"/>
            </w:pPr>
            <w:r>
              <w:t>~90% (</w:t>
            </w:r>
            <w:r>
              <w:rPr>
                <w:rStyle w:val="VerbatimChar"/>
              </w:rPr>
              <w:t>build_sumstat_table.py</w:t>
            </w:r>
            <w:r>
              <w:t>)</w:t>
            </w:r>
          </w:p>
        </w:tc>
      </w:tr>
      <w:tr w:rsidR="00F61D46" w14:paraId="38426D3C" w14:textId="77777777">
        <w:tc>
          <w:tcPr>
            <w:tcW w:w="2640" w:type="dxa"/>
          </w:tcPr>
          <w:p w14:paraId="53C91F6A" w14:textId="77777777" w:rsidR="00F61D46" w:rsidRDefault="00000000">
            <w:pPr>
              <w:pStyle w:val="Compact"/>
            </w:pPr>
            <w:r>
              <w:t>Table 2</w:t>
            </w:r>
          </w:p>
        </w:tc>
        <w:tc>
          <w:tcPr>
            <w:tcW w:w="2640" w:type="dxa"/>
          </w:tcPr>
          <w:p w14:paraId="65C71393" w14:textId="77777777" w:rsidR="00F61D46" w:rsidRDefault="00000000">
            <w:pPr>
              <w:pStyle w:val="Compact"/>
            </w:pPr>
            <w:r>
              <w:t>Main results: OLS / first stage / 2SLS × 3 GACI measures + β=1 Wald</w:t>
            </w:r>
          </w:p>
        </w:tc>
        <w:tc>
          <w:tcPr>
            <w:tcW w:w="2640" w:type="dxa"/>
          </w:tcPr>
          <w:p w14:paraId="2146E817" w14:textId="77777777" w:rsidR="00F61D46" w:rsidRDefault="00000000">
            <w:pPr>
              <w:pStyle w:val="Compact"/>
            </w:pPr>
            <w:r>
              <w:t>~95% (</w:t>
            </w:r>
            <w:r>
              <w:rPr>
                <w:rStyle w:val="VerbatimChar"/>
              </w:rPr>
              <w:t>gaci_main_table.do</w:t>
            </w:r>
            <w:r>
              <w:t>)</w:t>
            </w:r>
          </w:p>
        </w:tc>
      </w:tr>
      <w:tr w:rsidR="00F61D46" w14:paraId="30D9F1A4" w14:textId="77777777">
        <w:tc>
          <w:tcPr>
            <w:tcW w:w="2640" w:type="dxa"/>
          </w:tcPr>
          <w:p w14:paraId="67655715" w14:textId="77777777" w:rsidR="00F61D46" w:rsidRDefault="00000000">
            <w:pPr>
              <w:pStyle w:val="Compact"/>
            </w:pPr>
            <w:r>
              <w:t>Table 3</w:t>
            </w:r>
          </w:p>
        </w:tc>
        <w:tc>
          <w:tcPr>
            <w:tcW w:w="2640" w:type="dxa"/>
          </w:tcPr>
          <w:p w14:paraId="35CABAFD" w14:textId="77777777" w:rsidR="00F61D46" w:rsidRDefault="00000000">
            <w:pPr>
              <w:pStyle w:val="Compact"/>
            </w:pPr>
            <w:r>
              <w:t>Heterogeneity interaction-IV (income / baseline conn. / remoteness)</w:t>
            </w:r>
          </w:p>
        </w:tc>
        <w:tc>
          <w:tcPr>
            <w:tcW w:w="2640" w:type="dxa"/>
          </w:tcPr>
          <w:p w14:paraId="3D744723" w14:textId="77777777" w:rsidR="00F61D46" w:rsidRDefault="00000000">
            <w:pPr>
              <w:pStyle w:val="Compact"/>
            </w:pPr>
            <w:r>
              <w:t>~95% (</w:t>
            </w:r>
            <w:r>
              <w:rPr>
                <w:rStyle w:val="VerbatimChar"/>
              </w:rPr>
              <w:t>gaci_hetero_table.do</w:t>
            </w:r>
            <w:r>
              <w:t>)</w:t>
            </w:r>
          </w:p>
        </w:tc>
      </w:tr>
      <w:tr w:rsidR="00F61D46" w14:paraId="13A36100" w14:textId="77777777">
        <w:tc>
          <w:tcPr>
            <w:tcW w:w="2640" w:type="dxa"/>
          </w:tcPr>
          <w:p w14:paraId="3417F7F2" w14:textId="77777777" w:rsidR="00F61D46" w:rsidRDefault="00000000">
            <w:pPr>
              <w:pStyle w:val="Compact"/>
            </w:pPr>
            <w:r>
              <w:t>Table 4</w:t>
            </w:r>
          </w:p>
        </w:tc>
        <w:tc>
          <w:tcPr>
            <w:tcW w:w="2640" w:type="dxa"/>
          </w:tcPr>
          <w:p w14:paraId="168FD0D0" w14:textId="77777777" w:rsidR="00F61D46" w:rsidRDefault="00000000">
            <w:pPr>
              <w:pStyle w:val="Compact"/>
            </w:pPr>
            <w:r>
              <w:t>Temporal heterogeneity (post-2010)</w:t>
            </w:r>
          </w:p>
        </w:tc>
        <w:tc>
          <w:tcPr>
            <w:tcW w:w="2640" w:type="dxa"/>
          </w:tcPr>
          <w:p w14:paraId="264A837F" w14:textId="77777777" w:rsidR="00F61D46" w:rsidRDefault="00000000">
            <w:pPr>
              <w:pStyle w:val="Compact"/>
            </w:pPr>
            <w:r>
              <w:t>~95% (</w:t>
            </w:r>
            <w:r>
              <w:rPr>
                <w:rStyle w:val="VerbatimChar"/>
              </w:rPr>
              <w:t>gaci_temporal_table.do</w:t>
            </w:r>
            <w:r>
              <w:t>)</w:t>
            </w:r>
          </w:p>
        </w:tc>
      </w:tr>
      <w:tr w:rsidR="00F61D46" w14:paraId="31AC5298" w14:textId="77777777">
        <w:tc>
          <w:tcPr>
            <w:tcW w:w="2640" w:type="dxa"/>
          </w:tcPr>
          <w:p w14:paraId="7DCD09DF" w14:textId="77777777" w:rsidR="00F61D46" w:rsidRDefault="00000000">
            <w:pPr>
              <w:pStyle w:val="Compact"/>
            </w:pPr>
            <w:r>
              <w:t>Table 5</w:t>
            </w:r>
          </w:p>
        </w:tc>
        <w:tc>
          <w:tcPr>
            <w:tcW w:w="2640" w:type="dxa"/>
          </w:tcPr>
          <w:p w14:paraId="3E00BE27" w14:textId="77777777" w:rsidR="00F61D46" w:rsidRDefault="00000000">
            <w:pPr>
              <w:pStyle w:val="Compact"/>
            </w:pPr>
            <w:r>
              <w:t>Robustness: volume controls, alternative CO₂ measures (bunker series), over-ID, placebo</w:t>
            </w:r>
          </w:p>
        </w:tc>
        <w:tc>
          <w:tcPr>
            <w:tcW w:w="2640" w:type="dxa"/>
          </w:tcPr>
          <w:p w14:paraId="3D8BA7AC" w14:textId="77777777" w:rsidR="00F61D46" w:rsidRDefault="00000000">
            <w:pPr>
              <w:pStyle w:val="Compact"/>
            </w:pPr>
            <w:r>
              <w:t>~50% (new columns)</w:t>
            </w:r>
          </w:p>
        </w:tc>
      </w:tr>
      <w:tr w:rsidR="00F61D46" w14:paraId="5F1DCD40" w14:textId="77777777">
        <w:tc>
          <w:tcPr>
            <w:tcW w:w="2640" w:type="dxa"/>
          </w:tcPr>
          <w:p w14:paraId="3AE95448" w14:textId="77777777" w:rsidR="00F61D46" w:rsidRDefault="00000000">
            <w:pPr>
              <w:pStyle w:val="Compact"/>
            </w:pPr>
            <w:r>
              <w:t>Fig 1</w:t>
            </w:r>
          </w:p>
        </w:tc>
        <w:tc>
          <w:tcPr>
            <w:tcW w:w="2640" w:type="dxa"/>
          </w:tcPr>
          <w:p w14:paraId="24531770" w14:textId="77777777" w:rsidR="00F61D46" w:rsidRDefault="00000000">
            <w:pPr>
              <w:pStyle w:val="Compact"/>
            </w:pPr>
            <w:r>
              <w:t>Aviation CO₂ map, 2023</w:t>
            </w:r>
          </w:p>
        </w:tc>
        <w:tc>
          <w:tcPr>
            <w:tcW w:w="2640" w:type="dxa"/>
          </w:tcPr>
          <w:p w14:paraId="22B6EFE4" w14:textId="77777777" w:rsidR="00F61D46" w:rsidRDefault="00000000">
            <w:pPr>
              <w:pStyle w:val="Compact"/>
            </w:pPr>
            <w:r>
              <w:t>map pipeline reuse (</w:t>
            </w:r>
            <w:r>
              <w:rPr>
                <w:rStyle w:val="VerbatimChar"/>
              </w:rPr>
              <w:t>build_gaci_map_v2.py</w:t>
            </w:r>
            <w:r>
              <w:t>)</w:t>
            </w:r>
          </w:p>
        </w:tc>
      </w:tr>
      <w:tr w:rsidR="00F61D46" w14:paraId="03023E18" w14:textId="77777777">
        <w:tc>
          <w:tcPr>
            <w:tcW w:w="2640" w:type="dxa"/>
          </w:tcPr>
          <w:p w14:paraId="1557FEC6" w14:textId="77777777" w:rsidR="00F61D46" w:rsidRDefault="00000000">
            <w:pPr>
              <w:pStyle w:val="Compact"/>
            </w:pPr>
            <w:r>
              <w:t>Fig 2</w:t>
            </w:r>
          </w:p>
        </w:tc>
        <w:tc>
          <w:tcPr>
            <w:tcW w:w="2640" w:type="dxa"/>
          </w:tcPr>
          <w:p w14:paraId="6BD5A255" w14:textId="77777777" w:rsidR="00F61D46" w:rsidRDefault="00000000">
            <w:pPr>
              <w:pStyle w:val="Compact"/>
            </w:pPr>
            <w:r>
              <w:t>Carbon intensity of connectivity (CO₂/GACI), by continent, 1996–2023</w:t>
            </w:r>
          </w:p>
        </w:tc>
        <w:tc>
          <w:tcPr>
            <w:tcW w:w="2640" w:type="dxa"/>
          </w:tcPr>
          <w:p w14:paraId="7DC17DC1" w14:textId="77777777" w:rsidR="00F61D46" w:rsidRDefault="00000000">
            <w:pPr>
              <w:pStyle w:val="Compact"/>
            </w:pPr>
            <w:r>
              <w:t>trend pipeline reuse</w:t>
            </w:r>
          </w:p>
        </w:tc>
      </w:tr>
      <w:tr w:rsidR="00F61D46" w14:paraId="70292CF6" w14:textId="77777777">
        <w:tc>
          <w:tcPr>
            <w:tcW w:w="2640" w:type="dxa"/>
          </w:tcPr>
          <w:p w14:paraId="0814BE44" w14:textId="77777777" w:rsidR="00F61D46" w:rsidRDefault="00000000">
            <w:pPr>
              <w:pStyle w:val="Compact"/>
            </w:pPr>
            <w:r>
              <w:t>Fig 3</w:t>
            </w:r>
          </w:p>
        </w:tc>
        <w:tc>
          <w:tcPr>
            <w:tcW w:w="2640" w:type="dxa"/>
          </w:tcPr>
          <w:p w14:paraId="1ED3FC3E" w14:textId="77777777" w:rsidR="00F61D46" w:rsidRDefault="00000000">
            <w:pPr>
              <w:pStyle w:val="Compact"/>
            </w:pPr>
            <w:r>
              <w:t>CO₂ elasticity by income &amp; connectivity quartile</w:t>
            </w:r>
          </w:p>
        </w:tc>
        <w:tc>
          <w:tcPr>
            <w:tcW w:w="2640" w:type="dxa"/>
          </w:tcPr>
          <w:p w14:paraId="45809035" w14:textId="77777777" w:rsidR="00F61D46" w:rsidRDefault="00000000">
            <w:pPr>
              <w:pStyle w:val="Compact"/>
            </w:pPr>
            <w:r>
              <w:t>~95% (</w:t>
            </w:r>
            <w:r>
              <w:rPr>
                <w:rStyle w:val="VerbatimChar"/>
              </w:rPr>
              <w:t>build_hetero_quartile_fig.py</w:t>
            </w:r>
            <w:r>
              <w:t>)</w:t>
            </w:r>
          </w:p>
        </w:tc>
      </w:tr>
      <w:tr w:rsidR="00F61D46" w14:paraId="47922CA9" w14:textId="77777777">
        <w:tc>
          <w:tcPr>
            <w:tcW w:w="2640" w:type="dxa"/>
          </w:tcPr>
          <w:p w14:paraId="76AECA95" w14:textId="77777777" w:rsidR="00F61D46" w:rsidRDefault="00000000">
            <w:pPr>
              <w:pStyle w:val="Compact"/>
            </w:pPr>
            <w:r>
              <w:t>Fig 4</w:t>
            </w:r>
          </w:p>
        </w:tc>
        <w:tc>
          <w:tcPr>
            <w:tcW w:w="2640" w:type="dxa"/>
          </w:tcPr>
          <w:p w14:paraId="2A9EA1A7" w14:textId="77777777" w:rsidR="00F61D46" w:rsidRDefault="00000000">
            <w:pPr>
              <w:pStyle w:val="Compact"/>
            </w:pPr>
            <w:r>
              <w:t>SAF scenario paths: projected emissions vs. ReFuelEU/CORSIA offset trajectories</w:t>
            </w:r>
          </w:p>
        </w:tc>
        <w:tc>
          <w:tcPr>
            <w:tcW w:w="2640" w:type="dxa"/>
          </w:tcPr>
          <w:p w14:paraId="22AC5052" w14:textId="77777777" w:rsidR="00F61D46" w:rsidRDefault="00000000">
            <w:pPr>
              <w:pStyle w:val="Compact"/>
            </w:pPr>
            <w:r>
              <w:t>new</w:t>
            </w:r>
          </w:p>
        </w:tc>
      </w:tr>
    </w:tbl>
    <w:p w14:paraId="4DC82530" w14:textId="77777777" w:rsidR="00F61D46" w:rsidRDefault="00000000">
      <w:pPr>
        <w:pStyle w:val="2"/>
      </w:pPr>
      <w:bookmarkStart w:id="16" w:name="contributions"/>
      <w:bookmarkEnd w:id="15"/>
      <w:r>
        <w:t>8. Contributions</w:t>
      </w:r>
    </w:p>
    <w:p w14:paraId="12477B75" w14:textId="77777777" w:rsidR="00F61D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First global, causal connectivity–emissions elasticity.</w:t>
      </w:r>
      <w:r>
        <w:t xml:space="preserve"> Existing literature relates traffic volumes to emissions descriptively or at route level; no study prices </w:t>
      </w:r>
      <w:r>
        <w:rPr>
          <w:i/>
          <w:iCs/>
        </w:rPr>
        <w:t>network position</w:t>
      </w:r>
      <w:r>
        <w:t xml:space="preserve"> in carbon, at global scale, with an identification strategy.</w:t>
      </w:r>
    </w:p>
    <w:p w14:paraId="5B57E2E3" w14:textId="77777777" w:rsidR="00F61D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Network structure as a decarbonisation lever.</w:t>
      </w:r>
      <w:r>
        <w:t xml:space="preserve"> The three-measure comparison turns the hub-and-spoke versus point-to-point debate into an estimable question on a 184-country panel.</w:t>
      </w:r>
    </w:p>
    <w:p w14:paraId="55A7FED2" w14:textId="77777777" w:rsidR="00F61D4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The distributional ledger of aviation carbon policy.</w:t>
      </w:r>
      <w:r>
        <w:t xml:space="preserve"> Connectivity benefits and carbon costs are geographically mismatched; combined with the companion paper, the framework prices both sides and shows where uniform carbon regulation of aviation is regressive (CORSIA, blending mandates).</w:t>
      </w:r>
    </w:p>
    <w:p w14:paraId="28E7AEC2" w14:textId="77777777" w:rsidR="00F61D46" w:rsidRDefault="00000000">
      <w:pPr>
        <w:pStyle w:val="2"/>
      </w:pPr>
      <w:bookmarkStart w:id="17" w:name="target-journals-and-risks"/>
      <w:bookmarkEnd w:id="16"/>
      <w:r>
        <w:lastRenderedPageBreak/>
        <w:t>9. Target Journals and Risks</w:t>
      </w:r>
    </w:p>
    <w:p w14:paraId="5B28149A" w14:textId="77777777" w:rsidR="00F61D46" w:rsidRDefault="00000000">
      <w:pPr>
        <w:pStyle w:val="FirstParagraph"/>
      </w:pPr>
      <w:r>
        <w:rPr>
          <w:b/>
          <w:bCs/>
        </w:rPr>
        <w:t>Target:</w:t>
      </w:r>
      <w:r>
        <w:t xml:space="preserve"> Transportation Research Part D (first choice — natural division of labour with the TR-A trade paper); Journal of Air Transport Management (second).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61D46" w14:paraId="31FADA14" w14:textId="77777777" w:rsidTr="00F61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AB46C4" w14:textId="77777777" w:rsidR="00F61D46" w:rsidRDefault="00000000">
            <w:pPr>
              <w:pStyle w:val="Compact"/>
            </w:pPr>
            <w:r>
              <w:t>Risk</w:t>
            </w:r>
          </w:p>
        </w:tc>
        <w:tc>
          <w:tcPr>
            <w:tcW w:w="3960" w:type="dxa"/>
          </w:tcPr>
          <w:p w14:paraId="64C6997A" w14:textId="77777777" w:rsidR="00F61D46" w:rsidRDefault="00000000">
            <w:pPr>
              <w:pStyle w:val="Compact"/>
            </w:pPr>
            <w:r>
              <w:t>Mitigation</w:t>
            </w:r>
          </w:p>
        </w:tc>
      </w:tr>
      <w:tr w:rsidR="00F61D46" w14:paraId="12DFD5F8" w14:textId="77777777">
        <w:tc>
          <w:tcPr>
            <w:tcW w:w="3960" w:type="dxa"/>
          </w:tcPr>
          <w:p w14:paraId="7F8CF54C" w14:textId="77777777" w:rsidR="00F61D46" w:rsidRDefault="00000000">
            <w:pPr>
              <w:pStyle w:val="Compact"/>
            </w:pPr>
            <w:r>
              <w:t>EDGAR international-aviation attribution differs from expectation</w:t>
            </w:r>
          </w:p>
        </w:tc>
        <w:tc>
          <w:tcPr>
            <w:tcW w:w="3960" w:type="dxa"/>
          </w:tcPr>
          <w:p w14:paraId="5DAB621D" w14:textId="77777777" w:rsidR="00F61D46" w:rsidRDefault="00000000">
            <w:pPr>
              <w:pStyle w:val="Compact"/>
            </w:pPr>
            <w:r>
              <w:t>Fall back to IEA/Climate Watch bunker series (measurement change, not design change)</w:t>
            </w:r>
          </w:p>
        </w:tc>
      </w:tr>
      <w:tr w:rsidR="00F61D46" w14:paraId="257F536E" w14:textId="77777777">
        <w:tc>
          <w:tcPr>
            <w:tcW w:w="3960" w:type="dxa"/>
          </w:tcPr>
          <w:p w14:paraId="30203FFF" w14:textId="77777777" w:rsidR="00F61D46" w:rsidRDefault="00000000">
            <w:pPr>
              <w:pStyle w:val="Compact"/>
            </w:pPr>
            <w:r>
              <w:t>First stage weakens on the CO₂-matched sample (EDGAR coverage &lt; 184 countries)</w:t>
            </w:r>
          </w:p>
        </w:tc>
        <w:tc>
          <w:tcPr>
            <w:tcW w:w="3960" w:type="dxa"/>
          </w:tcPr>
          <w:p w14:paraId="6043D641" w14:textId="77777777" w:rsidR="00F61D46" w:rsidRDefault="00000000">
            <w:pPr>
              <w:pStyle w:val="Compact"/>
            </w:pPr>
            <w:r>
              <w:t>Verify sample overlap first (§4.3 item 4); report matched-sample first stage before any 2SLS</w:t>
            </w:r>
          </w:p>
        </w:tc>
      </w:tr>
      <w:tr w:rsidR="00F61D46" w14:paraId="11FC1165" w14:textId="77777777">
        <w:tc>
          <w:tcPr>
            <w:tcW w:w="3960" w:type="dxa"/>
          </w:tcPr>
          <w:p w14:paraId="20B0784E" w14:textId="77777777" w:rsidR="00F61D46" w:rsidRDefault="00000000">
            <w:pPr>
              <w:pStyle w:val="Compact"/>
            </w:pPr>
            <w:r>
              <w:t>“Obvious result” referee critique</w:t>
            </w:r>
          </w:p>
        </w:tc>
        <w:tc>
          <w:tcPr>
            <w:tcW w:w="3960" w:type="dxa"/>
          </w:tcPr>
          <w:p w14:paraId="2D041DE8" w14:textId="77777777" w:rsidR="00F61D46" w:rsidRDefault="00000000">
            <w:pPr>
              <w:pStyle w:val="Compact"/>
            </w:pPr>
            <w:r>
              <w:t xml:space="preserve">The paper tests β = 1 and structure differences, not whether flying emits; state in the introduction: </w:t>
            </w:r>
            <w:r>
              <w:rPr>
                <w:i/>
                <w:iCs/>
              </w:rPr>
              <w:t>“we test whether connectivity is carbon-efficient, not whether aviation emits”</w:t>
            </w:r>
          </w:p>
        </w:tc>
      </w:tr>
      <w:tr w:rsidR="00F61D46" w14:paraId="24C45C68" w14:textId="77777777">
        <w:tc>
          <w:tcPr>
            <w:tcW w:w="3960" w:type="dxa"/>
          </w:tcPr>
          <w:p w14:paraId="0E340771" w14:textId="77777777" w:rsidR="00F61D46" w:rsidRDefault="00000000">
            <w:pPr>
              <w:pStyle w:val="Compact"/>
            </w:pPr>
            <w:r>
              <w:t>LTO-only international measure misses cruise emissions</w:t>
            </w:r>
          </w:p>
        </w:tc>
        <w:tc>
          <w:tcPr>
            <w:tcW w:w="3960" w:type="dxa"/>
          </w:tcPr>
          <w:p w14:paraId="7D0E32EB" w14:textId="77777777" w:rsidR="00F61D46" w:rsidRDefault="00000000">
            <w:pPr>
              <w:pStyle w:val="Compact"/>
            </w:pPr>
            <w:r>
              <w:t>Frame as territorial/airport-attributable emissions (consistent with LTO-based airport regulation); bunker-series robustness captures total fuel sold</w:t>
            </w:r>
          </w:p>
        </w:tc>
      </w:tr>
    </w:tbl>
    <w:p w14:paraId="1C19BF00" w14:textId="77777777" w:rsidR="00F61D46" w:rsidRDefault="00000000">
      <w:pPr>
        <w:pStyle w:val="2"/>
      </w:pPr>
      <w:bookmarkStart w:id="18" w:name="workplan"/>
      <w:bookmarkEnd w:id="17"/>
      <w:r>
        <w:t>10. Workplan</w:t>
      </w:r>
    </w:p>
    <w:p w14:paraId="22C125D7" w14:textId="77777777" w:rsidR="00F61D4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EDGAR specification check</w:t>
      </w:r>
      <w:r>
        <w:t xml:space="preserve"> (§4.3 items 1–4) — go/no-go gate for the grid construction route.</w:t>
      </w:r>
    </w:p>
    <w:p w14:paraId="66D55D7A" w14:textId="77777777" w:rsidR="00F61D46" w:rsidRDefault="00000000">
      <w:pPr>
        <w:pStyle w:val="Compact"/>
        <w:numPr>
          <w:ilvl w:val="0"/>
          <w:numId w:val="9"/>
        </w:numPr>
      </w:pPr>
      <w:r>
        <w:t>Construct country-year aviation CO₂ (two-tier); descriptive Fig 1–2; sample-overlap report.</w:t>
      </w:r>
    </w:p>
    <w:p w14:paraId="22701040" w14:textId="77777777" w:rsidR="00F61D46" w:rsidRDefault="00000000">
      <w:pPr>
        <w:pStyle w:val="Compact"/>
        <w:numPr>
          <w:ilvl w:val="0"/>
          <w:numId w:val="9"/>
        </w:numPr>
      </w:pPr>
      <w:r>
        <w:t>Pilot regression: Table 2 skeleton (OLS + 2SLS, cwm only) on matched sample.</w:t>
      </w:r>
    </w:p>
    <w:p w14:paraId="402C358D" w14:textId="77777777" w:rsidR="00F61D46" w:rsidRDefault="00000000">
      <w:pPr>
        <w:pStyle w:val="Compact"/>
        <w:numPr>
          <w:ilvl w:val="0"/>
          <w:numId w:val="9"/>
        </w:numPr>
      </w:pPr>
      <w:r>
        <w:t>Full Tables 2–4; H1/H2 tests.</w:t>
      </w:r>
    </w:p>
    <w:p w14:paraId="7B0F34F1" w14:textId="77777777" w:rsidR="00F61D46" w:rsidRDefault="00000000">
      <w:pPr>
        <w:pStyle w:val="Compact"/>
        <w:numPr>
          <w:ilvl w:val="0"/>
          <w:numId w:val="9"/>
        </w:numPr>
      </w:pPr>
      <w:r>
        <w:t>Robustness (Table 5) + COVID module.</w:t>
      </w:r>
    </w:p>
    <w:p w14:paraId="116EEFC6" w14:textId="77777777" w:rsidR="00F61D46" w:rsidRDefault="00000000">
      <w:pPr>
        <w:pStyle w:val="Compact"/>
        <w:numPr>
          <w:ilvl w:val="0"/>
          <w:numId w:val="9"/>
        </w:numPr>
      </w:pPr>
      <w:r>
        <w:t>SAF scenario section (after reference-checking all policy figures).</w:t>
      </w:r>
    </w:p>
    <w:p w14:paraId="67F139E5" w14:textId="77777777" w:rsidR="00F61D46" w:rsidRDefault="00000000">
      <w:pPr>
        <w:pStyle w:val="Compact"/>
        <w:numPr>
          <w:ilvl w:val="0"/>
          <w:numId w:val="9"/>
        </w:numPr>
      </w:pPr>
      <w:r>
        <w:t>Draft manuscript on the companion paper’s LaTeX skeleton.</w:t>
      </w:r>
      <w:bookmarkEnd w:id="0"/>
      <w:bookmarkEnd w:id="18"/>
    </w:p>
    <w:sectPr w:rsidR="00F61D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4B06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5C89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6AD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3116383">
    <w:abstractNumId w:val="0"/>
  </w:num>
  <w:num w:numId="2" w16cid:durableId="188764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1861845">
    <w:abstractNumId w:val="1"/>
  </w:num>
  <w:num w:numId="4" w16cid:durableId="1727609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8306343">
    <w:abstractNumId w:val="1"/>
  </w:num>
  <w:num w:numId="6" w16cid:durableId="312178661">
    <w:abstractNumId w:val="1"/>
  </w:num>
  <w:num w:numId="7" w16cid:durableId="205609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5883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7826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D46"/>
    <w:rsid w:val="00441732"/>
    <w:rsid w:val="00953206"/>
    <w:rsid w:val="00E82702"/>
    <w:rsid w:val="00F6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789AD9"/>
  <w15:docId w15:val="{068635CB-101C-7D4F-8B6C-A96374E3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2041</Words>
  <Characters>11638</Characters>
  <Application>Microsoft Office Word</Application>
  <DocSecurity>0</DocSecurity>
  <Lines>96</Lines>
  <Paragraphs>27</Paragraphs>
  <ScaleCrop>false</ScaleCrop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유선빈</cp:lastModifiedBy>
  <cp:revision>2</cp:revision>
  <dcterms:created xsi:type="dcterms:W3CDTF">2026-08-09T04:56:00Z</dcterms:created>
  <dcterms:modified xsi:type="dcterms:W3CDTF">2026-08-10T22:34:00Z</dcterms:modified>
</cp:coreProperties>
</file>