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Response to Yifu's comments on the interpretation of the 5.67 elasticity: results</w:t>
      </w:r>
    </w:p>
    <w:p>
      <w:r>
        <w:rPr>
          <w:i/>
        </w:rPr>
        <w:t>Prepared 3 September 2026 by Sunbin Yoo. Estimates are in main_co2_nature_20260903.tex (subsection 'What the elasticity represents', ED Tables 8-10, ED Fig. gradient, SI Table 3) and in CO2_results_summary_20260903_LZ.xlsx (sheets Y_*).</w:t>
      </w:r>
    </w:p>
    <w:p>
      <w:pPr>
        <w:spacing w:before="240" w:after="80"/>
      </w:pPr>
      <w:r>
        <w:rPr>
          <w:b/>
          <w:color w:val="1F4E79"/>
          <w:sz w:val="25"/>
        </w:rPr>
        <w:t>1. Interpretation of the 5.67 elasticity and the low-base problem</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I wonder whether the large elasticity mainly reflects the 'take-off' stage of aviation development ... a country moving from 1 to 2 would experience a 100% increase, while a mature network moving from 100 to 101 would see only a 1% increase ... complement the current results with semi-log and/or level specifications.</w:t>
            </w:r>
          </w:p>
        </w:tc>
      </w:tr>
    </w:tbl>
    <w:p>
      <w:pPr>
        <w:spacing w:after="40"/>
      </w:pPr>
    </w:p>
    <w:p>
      <w:pPr>
        <w:spacing w:after="40"/>
      </w:pPr>
      <w:r>
        <w:rPr>
          <w:b/>
          <w:color w:val="B06A1E"/>
        </w:rPr>
        <w:t xml:space="preserve">Response: </w:t>
      </w:r>
    </w:p>
    <w:p>
      <w:pPr>
        <w:spacing w:after="80"/>
      </w:pPr>
      <w:r>
        <w:t>We agree and now state in the abstract, Results and Discussion that the headline elasticity describes the take-off stage of network development rather than a universal constant. The functional-form check is in ED Table 8.</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sz w:val="18"/>
              </w:rPr>
              <w:t>Specification</w:t>
            </w:r>
          </w:p>
        </w:tc>
        <w:tc>
          <w:tcPr>
            <w:tcW w:type="dxa" w:w="2436"/>
          </w:tcPr>
          <w:p>
            <w:r/>
            <w:r>
              <w:rPr>
                <w:b/>
                <w:sz w:val="18"/>
              </w:rPr>
              <w:t>2SLS (s.e.)</w:t>
            </w:r>
          </w:p>
        </w:tc>
        <w:tc>
          <w:tcPr>
            <w:tcW w:type="dxa" w:w="2436"/>
          </w:tcPr>
          <w:p>
            <w:r/>
            <w:r>
              <w:rPr>
                <w:b/>
                <w:sz w:val="18"/>
              </w:rPr>
              <w:t>Implied elasticity at sample means</w:t>
            </w:r>
          </w:p>
        </w:tc>
        <w:tc>
          <w:tcPr>
            <w:tcW w:type="dxa" w:w="2436"/>
          </w:tcPr>
          <w:p>
            <w:r/>
            <w:r>
              <w:rPr>
                <w:b/>
                <w:sz w:val="18"/>
              </w:rPr>
              <w:t>KP F</w:t>
            </w:r>
          </w:p>
        </w:tc>
      </w:tr>
      <w:tr>
        <w:tc>
          <w:tcPr>
            <w:tcW w:type="dxa" w:w="2436"/>
          </w:tcPr>
          <w:p>
            <w:r/>
            <w:r>
              <w:rPr>
                <w:sz w:val="18"/>
              </w:rPr>
              <w:t>Log CO2 on log GACI (reference)</w:t>
            </w:r>
          </w:p>
        </w:tc>
        <w:tc>
          <w:tcPr>
            <w:tcW w:type="dxa" w:w="2436"/>
          </w:tcPr>
          <w:p>
            <w:r/>
            <w:r>
              <w:rPr>
                <w:sz w:val="18"/>
              </w:rPr>
              <w:t>5.67 (0.41)</w:t>
            </w:r>
          </w:p>
        </w:tc>
        <w:tc>
          <w:tcPr>
            <w:tcW w:type="dxa" w:w="2436"/>
          </w:tcPr>
          <w:p>
            <w:r/>
            <w:r>
              <w:rPr>
                <w:sz w:val="18"/>
              </w:rPr>
              <w:t>5.67</w:t>
            </w:r>
          </w:p>
        </w:tc>
        <w:tc>
          <w:tcPr>
            <w:tcW w:type="dxa" w:w="2436"/>
          </w:tcPr>
          <w:p>
            <w:r/>
            <w:r>
              <w:rPr>
                <w:sz w:val="18"/>
              </w:rPr>
              <w:t>153.6</w:t>
            </w:r>
          </w:p>
        </w:tc>
      </w:tr>
      <w:tr>
        <w:tc>
          <w:tcPr>
            <w:tcW w:type="dxa" w:w="2436"/>
          </w:tcPr>
          <w:p>
            <w:r/>
            <w:r>
              <w:rPr>
                <w:sz w:val="18"/>
              </w:rPr>
              <w:t>Log CO2 on GACI level (semi-log)</w:t>
            </w:r>
          </w:p>
        </w:tc>
        <w:tc>
          <w:tcPr>
            <w:tcW w:type="dxa" w:w="2436"/>
          </w:tcPr>
          <w:p>
            <w:r/>
            <w:r>
              <w:rPr>
                <w:sz w:val="18"/>
              </w:rPr>
              <w:t>4.09 (0.35) per unit</w:t>
            </w:r>
          </w:p>
        </w:tc>
        <w:tc>
          <w:tcPr>
            <w:tcW w:type="dxa" w:w="2436"/>
          </w:tcPr>
          <w:p>
            <w:r/>
            <w:r>
              <w:rPr>
                <w:sz w:val="18"/>
              </w:rPr>
              <w:t>4.44 (x mean GACI 1.09)</w:t>
            </w:r>
          </w:p>
        </w:tc>
        <w:tc>
          <w:tcPr>
            <w:tcW w:type="dxa" w:w="2436"/>
          </w:tcPr>
          <w:p>
            <w:r/>
            <w:r>
              <w:rPr>
                <w:sz w:val="18"/>
              </w:rPr>
              <w:t>165.6</w:t>
            </w:r>
          </w:p>
        </w:tc>
      </w:tr>
      <w:tr>
        <w:tc>
          <w:tcPr>
            <w:tcW w:type="dxa" w:w="2436"/>
          </w:tcPr>
          <w:p>
            <w:r/>
            <w:r>
              <w:rPr>
                <w:sz w:val="18"/>
              </w:rPr>
              <w:t>CO2 (Mt) on GACI level</w:t>
            </w:r>
          </w:p>
        </w:tc>
        <w:tc>
          <w:tcPr>
            <w:tcW w:type="dxa" w:w="2436"/>
          </w:tcPr>
          <w:p>
            <w:r/>
            <w:r>
              <w:rPr>
                <w:sz w:val="18"/>
              </w:rPr>
              <w:t>4.25 (1.95) Mt per unit</w:t>
            </w:r>
          </w:p>
        </w:tc>
        <w:tc>
          <w:tcPr>
            <w:tcW w:type="dxa" w:w="2436"/>
          </w:tcPr>
          <w:p>
            <w:r/>
            <w:r>
              <w:rPr>
                <w:sz w:val="18"/>
              </w:rPr>
              <w:t>1.21 (x mean GACI / mean CO2 3.81 Mt)</w:t>
            </w:r>
          </w:p>
        </w:tc>
        <w:tc>
          <w:tcPr>
            <w:tcW w:type="dxa" w:w="2436"/>
          </w:tcPr>
          <w:p>
            <w:r/>
            <w:r>
              <w:rPr>
                <w:sz w:val="18"/>
              </w:rPr>
              <w:t>165.6</w:t>
            </w:r>
          </w:p>
        </w:tc>
      </w:tr>
      <w:tr>
        <w:tc>
          <w:tcPr>
            <w:tcW w:type="dxa" w:w="2436"/>
          </w:tcPr>
          <w:p>
            <w:r/>
            <w:r>
              <w:rPr>
                <w:sz w:val="18"/>
              </w:rPr>
              <w:t>CO2 (Mt) on log GACI</w:t>
            </w:r>
          </w:p>
        </w:tc>
        <w:tc>
          <w:tcPr>
            <w:tcW w:type="dxa" w:w="2436"/>
          </w:tcPr>
          <w:p>
            <w:r/>
            <w:r>
              <w:rPr>
                <w:sz w:val="18"/>
              </w:rPr>
              <w:t>5.89 (2.76) Mt per log point</w:t>
            </w:r>
          </w:p>
        </w:tc>
        <w:tc>
          <w:tcPr>
            <w:tcW w:type="dxa" w:w="2436"/>
          </w:tcPr>
          <w:p>
            <w:r/>
            <w:r>
              <w:rPr>
                <w:sz w:val="18"/>
              </w:rPr>
              <w:t>1.55</w:t>
            </w:r>
          </w:p>
        </w:tc>
        <w:tc>
          <w:tcPr>
            <w:tcW w:type="dxa" w:w="2436"/>
          </w:tcPr>
          <w:p>
            <w:r/>
            <w:r>
              <w:rPr>
                <w:sz w:val="18"/>
              </w:rPr>
              <w:t>153.6</w:t>
            </w:r>
          </w:p>
        </w:tc>
      </w:tr>
      <w:tr>
        <w:tc>
          <w:tcPr>
            <w:tcW w:type="dxa" w:w="2436"/>
          </w:tcPr>
          <w:p>
            <w:r/>
            <w:r>
              <w:rPr>
                <w:sz w:val="18"/>
              </w:rPr>
              <w:t>Semi-log, low / middle / high baseline-connectivity tercile</w:t>
            </w:r>
          </w:p>
        </w:tc>
        <w:tc>
          <w:tcPr>
            <w:tcW w:type="dxa" w:w="2436"/>
          </w:tcPr>
          <w:p>
            <w:r/>
            <w:r>
              <w:rPr>
                <w:sz w:val="18"/>
              </w:rPr>
              <w:t>10.26 (0.87) / 4.59 (0.87) / 1.11 (0.57)</w:t>
            </w:r>
          </w:p>
        </w:tc>
        <w:tc>
          <w:tcPr>
            <w:tcW w:type="dxa" w:w="2436"/>
          </w:tcPr>
          <w:p>
            <w:r/>
            <w:r>
              <w:rPr>
                <w:sz w:val="18"/>
              </w:rPr>
              <w:t>7.8 / 4.5 / 1.6</w:t>
            </w:r>
          </w:p>
        </w:tc>
        <w:tc>
          <w:tcPr>
            <w:tcW w:type="dxa" w:w="2436"/>
          </w:tcPr>
          <w:p>
            <w:r/>
            <w:r>
              <w:rPr>
                <w:sz w:val="18"/>
              </w:rPr>
              <w:t>111.5 / 29.5 / 10.8</w:t>
            </w:r>
          </w:p>
        </w:tc>
      </w:tr>
    </w:tbl>
    <w:p>
      <w:pPr>
        <w:spacing w:after="40"/>
      </w:pPr>
    </w:p>
    <w:p>
      <w:pPr>
        <w:spacing w:after="40"/>
      </w:pPr>
      <w:r>
        <w:rPr>
          <w:b/>
          <w:color w:val="B06A1E"/>
        </w:rPr>
        <w:t xml:space="preserve">Findings: </w:t>
      </w:r>
    </w:p>
    <w:p>
      <w:pPr>
        <w:spacing w:after="80"/>
      </w:pPr>
      <w:r>
        <w:t>GACI (capacity-weighted mean) has a sample mean of 1.09 and a baseline range of 0.56 to 2.57, so a one-unit change is roughly a doubling for a typical country and the semi-log slope of 4.09 log points per unit is the absolute-change analogue of the elasticity. The gradient survives the change of scale: the same absolute addition to the network raises emissions ten times more in the bottom tercile than in the top. The level-level slopes are imprecise and dominated by large emitters (the top-tercile level slope is -27.7, not significant), so we treat the semi-log results as the informative complement.</w:t>
      </w:r>
    </w:p>
    <w:p>
      <w:pPr>
        <w:spacing w:before="240" w:after="80"/>
      </w:pPr>
      <w:r>
        <w:rPr>
          <w:b/>
          <w:color w:val="1F4E79"/>
          <w:sz w:val="25"/>
        </w:rPr>
        <w:t>2. IV and the post-2010 period; the accident instrument</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The first-stage F-test is very strong before 2010 but becomes weak afterwards (KP F = 7) ... a more conservative interpretation may be that the large elasticity captures the effect ... during the network expansion/take-off stage. We could also try the aviation-accident IV.</w:t>
            </w:r>
          </w:p>
        </w:tc>
      </w:tr>
    </w:tbl>
    <w:p>
      <w:pPr>
        <w:spacing w:after="40"/>
      </w:pPr>
    </w:p>
    <w:p>
      <w:pPr>
        <w:spacing w:after="40"/>
      </w:pPr>
      <w:r>
        <w:rPr>
          <w:b/>
          <w:color w:val="B06A1E"/>
        </w:rPr>
        <w:t xml:space="preserve">Findings: </w:t>
      </w:r>
    </w:p>
    <w:p>
      <w:pPr>
        <w:spacing w:after="80"/>
      </w:pPr>
      <w:r>
        <w:t>The conservative interpretation is adopted. The text now says that the identifying variation is concentrated in the expansion era (first stage strong before 2010, and in the mature era only once 2020 to 2021 are excluded, F = 36.7), that the elasticity falls from 5.6 to 3.0 across the eras, and that the headline number is the emissions response during take-off, which the sample observes for most countries between 1996 and the late 2000s.</w:t>
      </w:r>
    </w:p>
    <w:p>
      <w:pPr>
        <w:spacing w:after="80"/>
      </w:pPr>
      <w:r>
        <w:t>The accident instrument (Aviation Safety Network country-year fatal accidents and deaths, lagged one year) had already been piloted and is now reported in SI Table 3. It is too weak to stand alone (first-stage F 1 to 4; 2SLS 6.2 with s.e. 2.4 for lagged fatal accidents, 5.6 with s.e. 3.0 for deaths), but the Hansen test does not reject its joint validity with the Feyrer instrument (p = 0.70 and 0.95) and the jointly instrumented elasticity is 5.4 (s.e. 0.42). We present it as supporting evidence, not as an independent identification strategy.</w:t>
      </w:r>
    </w:p>
    <w:p>
      <w:pPr>
        <w:spacing w:before="240" w:after="80"/>
      </w:pPr>
      <w:r>
        <w:rPr>
          <w:b/>
          <w:color w:val="1F4E79"/>
          <w:sz w:val="25"/>
        </w:rPr>
        <w:t>3. Attribution using a common elasticity</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I am slightly concerned about applying the same 5.669 elasticity to all countries in the 2023 attribution exercise ... add a heterogeneity-adjusted attribution as a robustness check.</w:t>
            </w:r>
          </w:p>
        </w:tc>
      </w:tr>
    </w:tbl>
    <w:p>
      <w:pPr>
        <w:spacing w:after="40"/>
      </w:pPr>
    </w:p>
    <w:p>
      <w:pPr>
        <w:spacing w:after="40"/>
      </w:pPr>
      <w:r>
        <w:rPr>
          <w:b/>
          <w:color w:val="B06A1E"/>
        </w:rPr>
        <w:t xml:space="preserve">Response: </w:t>
      </w:r>
    </w:p>
    <w:p>
      <w:pPr>
        <w:spacing w:after="80"/>
      </w:pPr>
      <w:r>
        <w:t>ED Table 10 recomputes the attribution under six rules.</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sz w:val="18"/>
              </w:rPr>
              <w:t>Elasticity rule</w:t>
            </w:r>
          </w:p>
        </w:tc>
        <w:tc>
          <w:tcPr>
            <w:tcW w:type="dxa" w:w="3249"/>
          </w:tcPr>
          <w:p>
            <w:r/>
            <w:r>
              <w:rPr>
                <w:b/>
                <w:sz w:val="18"/>
              </w:rPr>
              <w:t>Attributed 2023 CO2 (Mt)</w:t>
            </w:r>
          </w:p>
        </w:tc>
        <w:tc>
          <w:tcPr>
            <w:tcW w:type="dxa" w:w="3249"/>
          </w:tcPr>
          <w:p>
            <w:r/>
            <w:r>
              <w:rPr>
                <w:b/>
                <w:sz w:val="18"/>
              </w:rPr>
              <w:t>Share of 2023 emissions</w:t>
            </w:r>
          </w:p>
        </w:tc>
      </w:tr>
      <w:tr>
        <w:tc>
          <w:tcPr>
            <w:tcW w:type="dxa" w:w="3249"/>
          </w:tcPr>
          <w:p>
            <w:r/>
            <w:r>
              <w:rPr>
                <w:sz w:val="18"/>
              </w:rPr>
              <w:t>Common elasticity 5.67 (headline)</w:t>
            </w:r>
          </w:p>
        </w:tc>
        <w:tc>
          <w:tcPr>
            <w:tcW w:type="dxa" w:w="3249"/>
          </w:tcPr>
          <w:p>
            <w:r/>
            <w:r>
              <w:rPr>
                <w:sz w:val="18"/>
              </w:rPr>
              <w:t>356</w:t>
            </w:r>
          </w:p>
        </w:tc>
        <w:tc>
          <w:tcPr>
            <w:tcW w:type="dxa" w:w="3249"/>
          </w:tcPr>
          <w:p>
            <w:r/>
            <w:r>
              <w:rPr>
                <w:sz w:val="18"/>
              </w:rPr>
              <w:t>42.8% (42.5% of the 838 Mt world total)</w:t>
            </w:r>
          </w:p>
        </w:tc>
      </w:tr>
      <w:tr>
        <w:tc>
          <w:tcPr>
            <w:tcW w:type="dxa" w:w="3249"/>
          </w:tcPr>
          <w:p>
            <w:r/>
            <w:r>
              <w:rPr>
                <w:sz w:val="18"/>
              </w:rPr>
              <w:t>Baseline-connectivity terciles 8.46 / 5.07 / 4.05</w:t>
            </w:r>
          </w:p>
        </w:tc>
        <w:tc>
          <w:tcPr>
            <w:tcW w:type="dxa" w:w="3249"/>
          </w:tcPr>
          <w:p>
            <w:r/>
            <w:r>
              <w:rPr>
                <w:sz w:val="18"/>
              </w:rPr>
              <w:t>312</w:t>
            </w:r>
          </w:p>
        </w:tc>
        <w:tc>
          <w:tcPr>
            <w:tcW w:type="dxa" w:w="3249"/>
          </w:tcPr>
          <w:p>
            <w:r/>
            <w:r>
              <w:rPr>
                <w:sz w:val="18"/>
              </w:rPr>
              <w:t>37.5%</w:t>
            </w:r>
          </w:p>
        </w:tc>
      </w:tr>
      <w:tr>
        <w:tc>
          <w:tcPr>
            <w:tcW w:type="dxa" w:w="3249"/>
          </w:tcPr>
          <w:p>
            <w:r/>
            <w:r>
              <w:rPr>
                <w:sz w:val="18"/>
              </w:rPr>
              <w:t>Baseline-income terciles 10.40 / 6.14 / 1.83</w:t>
            </w:r>
          </w:p>
        </w:tc>
        <w:tc>
          <w:tcPr>
            <w:tcW w:type="dxa" w:w="3249"/>
          </w:tcPr>
          <w:p>
            <w:r/>
            <w:r>
              <w:rPr>
                <w:sz w:val="18"/>
              </w:rPr>
              <w:t>294</w:t>
            </w:r>
          </w:p>
        </w:tc>
        <w:tc>
          <w:tcPr>
            <w:tcW w:type="dxa" w:w="3249"/>
          </w:tcPr>
          <w:p>
            <w:r/>
            <w:r>
              <w:rPr>
                <w:sz w:val="18"/>
              </w:rPr>
              <w:t>35.3%</w:t>
            </w:r>
          </w:p>
        </w:tc>
      </w:tr>
      <w:tr>
        <w:tc>
          <w:tcPr>
            <w:tcW w:type="dxa" w:w="3249"/>
          </w:tcPr>
          <w:p>
            <w:r/>
            <w:r>
              <w:rPr>
                <w:sz w:val="18"/>
              </w:rPr>
              <w:t>Continuous, linear interaction with baseline</w:t>
            </w:r>
          </w:p>
        </w:tc>
        <w:tc>
          <w:tcPr>
            <w:tcW w:type="dxa" w:w="3249"/>
          </w:tcPr>
          <w:p>
            <w:r/>
            <w:r>
              <w:rPr>
                <w:sz w:val="18"/>
              </w:rPr>
              <w:t>323</w:t>
            </w:r>
          </w:p>
        </w:tc>
        <w:tc>
          <w:tcPr>
            <w:tcW w:type="dxa" w:w="3249"/>
          </w:tcPr>
          <w:p>
            <w:r/>
            <w:r>
              <w:rPr>
                <w:sz w:val="18"/>
              </w:rPr>
              <w:t>38.9%</w:t>
            </w:r>
          </w:p>
        </w:tc>
      </w:tr>
      <w:tr>
        <w:tc>
          <w:tcPr>
            <w:tcW w:type="dxa" w:w="3249"/>
          </w:tcPr>
          <w:p>
            <w:r/>
            <w:r>
              <w:rPr>
                <w:sz w:val="18"/>
              </w:rPr>
              <w:t>Continuous, quadratic interaction</w:t>
            </w:r>
          </w:p>
        </w:tc>
        <w:tc>
          <w:tcPr>
            <w:tcW w:type="dxa" w:w="3249"/>
          </w:tcPr>
          <w:p>
            <w:r/>
            <w:r>
              <w:rPr>
                <w:sz w:val="18"/>
              </w:rPr>
              <w:t>314</w:t>
            </w:r>
          </w:p>
        </w:tc>
        <w:tc>
          <w:tcPr>
            <w:tcW w:type="dxa" w:w="3249"/>
          </w:tcPr>
          <w:p>
            <w:r/>
            <w:r>
              <w:rPr>
                <w:sz w:val="18"/>
              </w:rPr>
              <w:t>37.8%</w:t>
            </w:r>
          </w:p>
        </w:tc>
      </w:tr>
      <w:tr>
        <w:tc>
          <w:tcPr>
            <w:tcW w:type="dxa" w:w="3249"/>
          </w:tcPr>
          <w:p>
            <w:r/>
            <w:r>
              <w:rPr>
                <w:sz w:val="18"/>
              </w:rPr>
              <w:t>Semi-log slope 4.09 on the absolute change in GACI</w:t>
            </w:r>
          </w:p>
        </w:tc>
        <w:tc>
          <w:tcPr>
            <w:tcW w:type="dxa" w:w="3249"/>
          </w:tcPr>
          <w:p>
            <w:r/>
            <w:r>
              <w:rPr>
                <w:sz w:val="18"/>
              </w:rPr>
              <w:t>353</w:t>
            </w:r>
          </w:p>
        </w:tc>
        <w:tc>
          <w:tcPr>
            <w:tcW w:type="dxa" w:w="3249"/>
          </w:tcPr>
          <w:p>
            <w:r/>
            <w:r>
              <w:rPr>
                <w:sz w:val="18"/>
              </w:rPr>
              <w:t>42.5%</w:t>
            </w:r>
          </w:p>
        </w:tc>
      </w:tr>
    </w:tbl>
    <w:p>
      <w:pPr>
        <w:spacing w:after="40"/>
      </w:pPr>
    </w:p>
    <w:p>
      <w:pPr>
        <w:spacing w:after="40"/>
      </w:pPr>
      <w:r>
        <w:rPr>
          <w:b/>
          <w:color w:val="B06A1E"/>
        </w:rPr>
      </w:r>
    </w:p>
    <w:p>
      <w:pPr>
        <w:spacing w:after="80"/>
      </w:pPr>
      <w:r>
        <w:t>Country level, largest contributors (attributed 2023 CO2, Mt) under three rules: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
              <w:rPr>
                <w:b/>
                <w:sz w:val="18"/>
              </w:rPr>
              <w:t>Country</w:t>
            </w:r>
          </w:p>
        </w:tc>
        <w:tc>
          <w:tcPr>
            <w:tcW w:type="dxa" w:w="1949"/>
          </w:tcPr>
          <w:p>
            <w:r/>
            <w:r>
              <w:rPr>
                <w:b/>
                <w:sz w:val="18"/>
              </w:rPr>
              <w:t>Baseline GACI 1996</w:t>
            </w:r>
          </w:p>
        </w:tc>
        <w:tc>
          <w:tcPr>
            <w:tcW w:type="dxa" w:w="1949"/>
          </w:tcPr>
          <w:p>
            <w:r/>
            <w:r>
              <w:rPr>
                <w:b/>
                <w:sz w:val="18"/>
              </w:rPr>
              <w:t>Common 5.67</w:t>
            </w:r>
          </w:p>
        </w:tc>
        <w:tc>
          <w:tcPr>
            <w:tcW w:type="dxa" w:w="1949"/>
          </w:tcPr>
          <w:p>
            <w:r/>
            <w:r>
              <w:rPr>
                <w:b/>
                <w:sz w:val="18"/>
              </w:rPr>
              <w:t>Connectivity-tercile rule</w:t>
            </w:r>
          </w:p>
        </w:tc>
        <w:tc>
          <w:tcPr>
            <w:tcW w:type="dxa" w:w="1949"/>
          </w:tcPr>
          <w:p>
            <w:r/>
            <w:r>
              <w:rPr>
                <w:b/>
                <w:sz w:val="18"/>
              </w:rPr>
              <w:t>Continuous (quadratic) rule</w:t>
            </w:r>
          </w:p>
        </w:tc>
      </w:tr>
      <w:tr>
        <w:tc>
          <w:tcPr>
            <w:tcW w:type="dxa" w:w="1949"/>
          </w:tcPr>
          <w:p>
            <w:r/>
            <w:r>
              <w:rPr>
                <w:sz w:val="18"/>
              </w:rPr>
              <w:t>CHN</w:t>
            </w:r>
          </w:p>
        </w:tc>
        <w:tc>
          <w:tcPr>
            <w:tcW w:type="dxa" w:w="1949"/>
          </w:tcPr>
          <w:p>
            <w:r/>
            <w:r>
              <w:rPr>
                <w:sz w:val="18"/>
              </w:rPr>
              <w:t>1.16</w:t>
            </w:r>
          </w:p>
        </w:tc>
        <w:tc>
          <w:tcPr>
            <w:tcW w:type="dxa" w:w="1949"/>
          </w:tcPr>
          <w:p>
            <w:r/>
            <w:r>
              <w:rPr>
                <w:sz w:val="18"/>
              </w:rPr>
              <w:t>87.7</w:t>
            </w:r>
          </w:p>
        </w:tc>
        <w:tc>
          <w:tcPr>
            <w:tcW w:type="dxa" w:w="1949"/>
          </w:tcPr>
          <w:p>
            <w:r/>
            <w:r>
              <w:rPr>
                <w:sz w:val="18"/>
              </w:rPr>
              <w:t>76.4</w:t>
            </w:r>
          </w:p>
        </w:tc>
        <w:tc>
          <w:tcPr>
            <w:tcW w:type="dxa" w:w="1949"/>
          </w:tcPr>
          <w:p>
            <w:r/>
            <w:r>
              <w:rPr>
                <w:sz w:val="18"/>
              </w:rPr>
              <w:t>79.3</w:t>
            </w:r>
          </w:p>
        </w:tc>
      </w:tr>
      <w:tr>
        <w:tc>
          <w:tcPr>
            <w:tcW w:type="dxa" w:w="1949"/>
          </w:tcPr>
          <w:p>
            <w:r/>
            <w:r>
              <w:rPr>
                <w:sz w:val="18"/>
              </w:rPr>
              <w:t>USA</w:t>
            </w:r>
          </w:p>
        </w:tc>
        <w:tc>
          <w:tcPr>
            <w:tcW w:type="dxa" w:w="1949"/>
          </w:tcPr>
          <w:p>
            <w:r/>
            <w:r>
              <w:rPr>
                <w:sz w:val="18"/>
              </w:rPr>
              <w:t>2.01</w:t>
            </w:r>
          </w:p>
        </w:tc>
        <w:tc>
          <w:tcPr>
            <w:tcW w:type="dxa" w:w="1949"/>
          </w:tcPr>
          <w:p>
            <w:r/>
            <w:r>
              <w:rPr>
                <w:sz w:val="18"/>
              </w:rPr>
              <w:t>36.4</w:t>
            </w:r>
          </w:p>
        </w:tc>
        <w:tc>
          <w:tcPr>
            <w:tcW w:type="dxa" w:w="1949"/>
          </w:tcPr>
          <w:p>
            <w:r/>
            <w:r>
              <w:rPr>
                <w:sz w:val="18"/>
              </w:rPr>
              <w:t>26.7</w:t>
            </w:r>
          </w:p>
        </w:tc>
        <w:tc>
          <w:tcPr>
            <w:tcW w:type="dxa" w:w="1949"/>
          </w:tcPr>
          <w:p>
            <w:r/>
            <w:r>
              <w:rPr>
                <w:sz w:val="18"/>
              </w:rPr>
              <w:t>25.9</w:t>
            </w:r>
          </w:p>
        </w:tc>
      </w:tr>
      <w:tr>
        <w:tc>
          <w:tcPr>
            <w:tcW w:type="dxa" w:w="1949"/>
          </w:tcPr>
          <w:p>
            <w:r/>
            <w:r>
              <w:rPr>
                <w:sz w:val="18"/>
              </w:rPr>
              <w:t>ARE</w:t>
            </w:r>
          </w:p>
        </w:tc>
        <w:tc>
          <w:tcPr>
            <w:tcW w:type="dxa" w:w="1949"/>
          </w:tcPr>
          <w:p>
            <w:r/>
            <w:r>
              <w:rPr>
                <w:sz w:val="18"/>
              </w:rPr>
              <w:t>1.58</w:t>
            </w:r>
          </w:p>
        </w:tc>
        <w:tc>
          <w:tcPr>
            <w:tcW w:type="dxa" w:w="1949"/>
          </w:tcPr>
          <w:p>
            <w:r/>
            <w:r>
              <w:rPr>
                <w:sz w:val="18"/>
              </w:rPr>
              <w:t>24.7</w:t>
            </w:r>
          </w:p>
        </w:tc>
        <w:tc>
          <w:tcPr>
            <w:tcW w:type="dxa" w:w="1949"/>
          </w:tcPr>
          <w:p>
            <w:r/>
            <w:r>
              <w:rPr>
                <w:sz w:val="18"/>
              </w:rPr>
              <w:t>23.1</w:t>
            </w:r>
          </w:p>
        </w:tc>
        <w:tc>
          <w:tcPr>
            <w:tcW w:type="dxa" w:w="1949"/>
          </w:tcPr>
          <w:p>
            <w:r/>
            <w:r>
              <w:rPr>
                <w:sz w:val="18"/>
              </w:rPr>
              <w:t>22.7</w:t>
            </w:r>
          </w:p>
        </w:tc>
      </w:tr>
      <w:tr>
        <w:tc>
          <w:tcPr>
            <w:tcW w:type="dxa" w:w="1949"/>
          </w:tcPr>
          <w:p>
            <w:r/>
            <w:r>
              <w:rPr>
                <w:sz w:val="18"/>
              </w:rPr>
              <w:t>JPN</w:t>
            </w:r>
          </w:p>
        </w:tc>
        <w:tc>
          <w:tcPr>
            <w:tcW w:type="dxa" w:w="1949"/>
          </w:tcPr>
          <w:p>
            <w:r/>
            <w:r>
              <w:rPr>
                <w:sz w:val="18"/>
              </w:rPr>
              <w:t>1.32</w:t>
            </w:r>
          </w:p>
        </w:tc>
        <w:tc>
          <w:tcPr>
            <w:tcW w:type="dxa" w:w="1949"/>
          </w:tcPr>
          <w:p>
            <w:r/>
            <w:r>
              <w:rPr>
                <w:sz w:val="18"/>
              </w:rPr>
              <w:t>17.4</w:t>
            </w:r>
          </w:p>
        </w:tc>
        <w:tc>
          <w:tcPr>
            <w:tcW w:type="dxa" w:w="1949"/>
          </w:tcPr>
          <w:p>
            <w:r/>
            <w:r>
              <w:rPr>
                <w:sz w:val="18"/>
              </w:rPr>
              <w:t>14.2</w:t>
            </w:r>
          </w:p>
        </w:tc>
        <w:tc>
          <w:tcPr>
            <w:tcW w:type="dxa" w:w="1949"/>
          </w:tcPr>
          <w:p>
            <w:r/>
            <w:r>
              <w:rPr>
                <w:sz w:val="18"/>
              </w:rPr>
              <w:t>14.1</w:t>
            </w:r>
          </w:p>
        </w:tc>
      </w:tr>
      <w:tr>
        <w:tc>
          <w:tcPr>
            <w:tcW w:type="dxa" w:w="1949"/>
          </w:tcPr>
          <w:p>
            <w:r/>
            <w:r>
              <w:rPr>
                <w:sz w:val="18"/>
              </w:rPr>
              <w:t>TUR</w:t>
            </w:r>
          </w:p>
        </w:tc>
        <w:tc>
          <w:tcPr>
            <w:tcW w:type="dxa" w:w="1949"/>
          </w:tcPr>
          <w:p>
            <w:r/>
            <w:r>
              <w:rPr>
                <w:sz w:val="18"/>
              </w:rPr>
              <w:t>1.21</w:t>
            </w:r>
          </w:p>
        </w:tc>
        <w:tc>
          <w:tcPr>
            <w:tcW w:type="dxa" w:w="1949"/>
          </w:tcPr>
          <w:p>
            <w:r/>
            <w:r>
              <w:rPr>
                <w:sz w:val="18"/>
              </w:rPr>
              <w:t>16.6</w:t>
            </w:r>
          </w:p>
        </w:tc>
        <w:tc>
          <w:tcPr>
            <w:tcW w:type="dxa" w:w="1949"/>
          </w:tcPr>
          <w:p>
            <w:r/>
            <w:r>
              <w:rPr>
                <w:sz w:val="18"/>
              </w:rPr>
              <w:t>15.5</w:t>
            </w:r>
          </w:p>
        </w:tc>
        <w:tc>
          <w:tcPr>
            <w:tcW w:type="dxa" w:w="1949"/>
          </w:tcPr>
          <w:p>
            <w:r/>
            <w:r>
              <w:rPr>
                <w:sz w:val="18"/>
              </w:rPr>
              <w:t>15.7</w:t>
            </w:r>
          </w:p>
        </w:tc>
      </w:tr>
      <w:tr>
        <w:tc>
          <w:tcPr>
            <w:tcW w:type="dxa" w:w="1949"/>
          </w:tcPr>
          <w:p>
            <w:r/>
            <w:r>
              <w:rPr>
                <w:sz w:val="18"/>
              </w:rPr>
              <w:t>IND</w:t>
            </w:r>
          </w:p>
        </w:tc>
        <w:tc>
          <w:tcPr>
            <w:tcW w:type="dxa" w:w="1949"/>
          </w:tcPr>
          <w:p>
            <w:r/>
            <w:r>
              <w:rPr>
                <w:sz w:val="18"/>
              </w:rPr>
              <w:t>1.18</w:t>
            </w:r>
          </w:p>
        </w:tc>
        <w:tc>
          <w:tcPr>
            <w:tcW w:type="dxa" w:w="1949"/>
          </w:tcPr>
          <w:p>
            <w:r/>
            <w:r>
              <w:rPr>
                <w:sz w:val="18"/>
              </w:rPr>
              <w:t>15.9</w:t>
            </w:r>
          </w:p>
        </w:tc>
        <w:tc>
          <w:tcPr>
            <w:tcW w:type="dxa" w:w="1949"/>
          </w:tcPr>
          <w:p>
            <w:r/>
            <w:r>
              <w:rPr>
                <w:sz w:val="18"/>
              </w:rPr>
              <w:t>12.9</w:t>
            </w:r>
          </w:p>
        </w:tc>
        <w:tc>
          <w:tcPr>
            <w:tcW w:type="dxa" w:w="1949"/>
          </w:tcPr>
          <w:p>
            <w:r/>
            <w:r>
              <w:rPr>
                <w:sz w:val="18"/>
              </w:rPr>
              <w:t>13.5</w:t>
            </w:r>
          </w:p>
        </w:tc>
      </w:tr>
      <w:tr>
        <w:tc>
          <w:tcPr>
            <w:tcW w:type="dxa" w:w="1949"/>
          </w:tcPr>
          <w:p>
            <w:r/>
            <w:r>
              <w:rPr>
                <w:sz w:val="18"/>
              </w:rPr>
              <w:t>KOR</w:t>
            </w:r>
          </w:p>
        </w:tc>
        <w:tc>
          <w:tcPr>
            <w:tcW w:type="dxa" w:w="1949"/>
          </w:tcPr>
          <w:p>
            <w:r/>
            <w:r>
              <w:rPr>
                <w:sz w:val="18"/>
              </w:rPr>
              <w:t>0.88</w:t>
            </w:r>
          </w:p>
        </w:tc>
        <w:tc>
          <w:tcPr>
            <w:tcW w:type="dxa" w:w="1949"/>
          </w:tcPr>
          <w:p>
            <w:r/>
            <w:r>
              <w:rPr>
                <w:sz w:val="18"/>
              </w:rPr>
              <w:t>14.1</w:t>
            </w:r>
          </w:p>
        </w:tc>
        <w:tc>
          <w:tcPr>
            <w:tcW w:type="dxa" w:w="1949"/>
          </w:tcPr>
          <w:p>
            <w:r/>
            <w:r>
              <w:rPr>
                <w:sz w:val="18"/>
              </w:rPr>
              <w:t>14.0</w:t>
            </w:r>
          </w:p>
        </w:tc>
        <w:tc>
          <w:tcPr>
            <w:tcW w:type="dxa" w:w="1949"/>
          </w:tcPr>
          <w:p>
            <w:r/>
            <w:r>
              <w:rPr>
                <w:sz w:val="18"/>
              </w:rPr>
              <w:t>14.1</w:t>
            </w:r>
          </w:p>
        </w:tc>
      </w:tr>
      <w:tr>
        <w:tc>
          <w:tcPr>
            <w:tcW w:type="dxa" w:w="1949"/>
          </w:tcPr>
          <w:p>
            <w:r/>
            <w:r>
              <w:rPr>
                <w:sz w:val="18"/>
              </w:rPr>
              <w:t>CAN</w:t>
            </w:r>
          </w:p>
        </w:tc>
        <w:tc>
          <w:tcPr>
            <w:tcW w:type="dxa" w:w="1949"/>
          </w:tcPr>
          <w:p>
            <w:r/>
            <w:r>
              <w:rPr>
                <w:sz w:val="18"/>
              </w:rPr>
              <w:t>1.48</w:t>
            </w:r>
          </w:p>
        </w:tc>
        <w:tc>
          <w:tcPr>
            <w:tcW w:type="dxa" w:w="1949"/>
          </w:tcPr>
          <w:p>
            <w:r/>
            <w:r>
              <w:rPr>
                <w:sz w:val="18"/>
              </w:rPr>
              <w:t>13.1</w:t>
            </w:r>
          </w:p>
        </w:tc>
        <w:tc>
          <w:tcPr>
            <w:tcW w:type="dxa" w:w="1949"/>
          </w:tcPr>
          <w:p>
            <w:r/>
            <w:r>
              <w:rPr>
                <w:sz w:val="18"/>
              </w:rPr>
              <w:t>10.8</w:t>
            </w:r>
          </w:p>
        </w:tc>
        <w:tc>
          <w:tcPr>
            <w:tcW w:type="dxa" w:w="1949"/>
          </w:tcPr>
          <w:p>
            <w:r/>
            <w:r>
              <w:rPr>
                <w:sz w:val="18"/>
              </w:rPr>
              <w:t>10.5</w:t>
            </w:r>
          </w:p>
        </w:tc>
      </w:tr>
      <w:tr>
        <w:tc>
          <w:tcPr>
            <w:tcW w:type="dxa" w:w="1949"/>
          </w:tcPr>
          <w:p>
            <w:r/>
            <w:r>
              <w:rPr>
                <w:sz w:val="18"/>
              </w:rPr>
              <w:t>DEU</w:t>
            </w:r>
          </w:p>
        </w:tc>
        <w:tc>
          <w:tcPr>
            <w:tcW w:type="dxa" w:w="1949"/>
          </w:tcPr>
          <w:p>
            <w:r/>
            <w:r>
              <w:rPr>
                <w:sz w:val="18"/>
              </w:rPr>
              <w:t>2.36</w:t>
            </w:r>
          </w:p>
        </w:tc>
        <w:tc>
          <w:tcPr>
            <w:tcW w:type="dxa" w:w="1949"/>
          </w:tcPr>
          <w:p>
            <w:r/>
            <w:r>
              <w:rPr>
                <w:sz w:val="18"/>
              </w:rPr>
              <w:t>-15.8</w:t>
            </w:r>
          </w:p>
        </w:tc>
        <w:tc>
          <w:tcPr>
            <w:tcW w:type="dxa" w:w="1949"/>
          </w:tcPr>
          <w:p>
            <w:r/>
            <w:r>
              <w:rPr>
                <w:sz w:val="18"/>
              </w:rPr>
              <w:t>-10.4</w:t>
            </w:r>
          </w:p>
        </w:tc>
        <w:tc>
          <w:tcPr>
            <w:tcW w:type="dxa" w:w="1949"/>
          </w:tcPr>
          <w:p>
            <w:r/>
            <w:r>
              <w:rPr>
                <w:sz w:val="18"/>
              </w:rPr>
              <w:t>-11.2</w:t>
            </w:r>
          </w:p>
        </w:tc>
      </w:tr>
    </w:tbl>
    <w:p>
      <w:pPr>
        <w:spacing w:after="40"/>
      </w:pPr>
    </w:p>
    <w:p>
      <w:pPr>
        <w:spacing w:after="40"/>
      </w:pPr>
      <w:r>
        <w:rPr>
          <w:b/>
          <w:color w:val="B06A1E"/>
        </w:rPr>
        <w:t xml:space="preserve">Findings: </w:t>
      </w:r>
    </w:p>
    <w:p>
      <w:pPr>
        <w:spacing w:after="80"/>
      </w:pPr>
      <w:r>
        <w:t>The headline is the upper end of a 35 to 43 percent range; the lower end is about one third of current emissions. The abstract keeps 42.5 percent but the Results and Discussion now give the range. Country ranks are stable (China, the United States and the Gulf states lead under every rule); the largest downward revisions in megatonnes are for the United States (-10), China (-8), Japan (-3) and Spain (-3), and Germany's negative attribution shrinks from -16 to -11.</w:t>
      </w:r>
    </w:p>
    <w:p>
      <w:pPr>
        <w:spacing w:before="240" w:after="80"/>
      </w:pPr>
      <w:r>
        <w:rPr>
          <w:b/>
          <w:color w:val="1F4E79"/>
          <w:sz w:val="25"/>
        </w:rPr>
        <w:t>4. Continuous heterogeneity by baseline connectivity</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present the heterogeneity by baseline connectivity more continuously rather than relying only on terciles ... whether the current low/middle/high pattern reflects a smooth decline with network maturity or is driven mainly by countries at the very bottom.</w:t>
            </w:r>
          </w:p>
        </w:tc>
      </w:tr>
    </w:tbl>
    <w:p>
      <w:pPr>
        <w:spacing w:after="40"/>
      </w:pPr>
    </w:p>
    <w:p>
      <w:pPr>
        <w:spacing w:after="40"/>
      </w:pPr>
      <w:r>
        <w:rPr>
          <w:b/>
          <w:color w:val="B06A1E"/>
        </w:rPr>
        <w:t xml:space="preserve">Findings: </w:t>
      </w:r>
    </w:p>
    <w:p>
      <w:pPr>
        <w:spacing w:after="80"/>
      </w:pPr>
      <w:r>
        <w:t>ED Table 9 and the new Fig. gradient give quintile splits and pooled flexible interactions. Quintiles of 1996 GACI: 8.49 (F 100), 8.49 (F 48), 3.29 (F 36), unidentified (F 0.0), 4.05 (F 12). Pooled 2SLS with log GACI interacted with centred log baseline GACI (instrument interacted identically, joint first-stage F = 76): linear interaction -3.99 (s.e. 0.39), implying 7.1 at the tenth percentile of baseline connectivity, 6.0 at the median and 4.1 at the ninetieth; the quadratic term is positive, so the fitted curve flattens at about 4 rather than continuing to zero.</w:t>
      </w:r>
    </w:p>
    <w:p>
      <w:pPr>
        <w:spacing w:after="80"/>
      </w:pPr>
      <w:r>
        <w:t>The pattern is therefore a step rather than a smooth slope: the two lowest quintiles, which together hold 40 percent of countries, share the high elasticity, and the decline occurs between the second and third quintiles. It is not driven only by countries at the very bottom. The gap at the fourth quintile (no instrument variation) is shown as such in the figure. In semi-log form the quintile slopes are 10.5, 9.0, 2.7, unidentified, 1.4, the same shape.</w:t>
      </w:r>
    </w:p>
    <w:p>
      <w:pPr>
        <w:spacing w:before="240" w:after="80"/>
      </w:pPr>
      <w:r>
        <w:rPr>
          <w:b/>
          <w:color w:val="1F4E79"/>
          <w:sz w:val="25"/>
        </w:rPr>
        <w:t>Open issues and fragile results (shared with all coauthors)</w:t>
      </w:r>
    </w:p>
    <w:p>
      <w:pPr>
        <w:spacing w:after="100"/>
      </w:pPr>
      <w:r>
        <w:rPr>
          <w:b/>
        </w:rPr>
        <w:t xml:space="preserve">Spillover: the earlier inverse-distance estimate is not robust. </w:t>
      </w:r>
      <w:r>
        <w:t>The 7.45 elasticity of the August draft has a country-clustered standard error of 5.7 (t = 1.3) and a permutation placebo p-value of 0.15; the exposure beyond 5,000 km carries a significantly negative coefficient, so wide exposures track global trends. The manuscript now leads with the contiguity specification (own 3.48, neighbour 1.93, jointly instrumented; clustered t = 2.7 and 2.8; permutation p = 0.004). Under country clustering the joint specification has a weak first stage (Kleibergen-Paap F 3.3), but the neighbour coefficient remains bounded away from zero by the subset Anderson-Rubin set (0.1 to 3.1), and the single-endogenous contiguity specification (neighbour instrumented, own shifter controlled) is strong and stable: 2.05 (clustered s.e. 0.61, F 175, Anderson-Rubin set 0.9 to 3.2), 2.07 (s.e. 0.83) with sub-region-by-year fixed effects. Only the contiguity definition survives clustering; the five-nearest and 500 km definitions have Anderson-Rubin sets that include zero. What remains fragile is the mechanism, which attributed to neighbours depends on the weighting (gauge and higher intensity under inverse distance; flights, longer stages and lower intensity under contiguity). The own intensity coefficient also changes sign in the joint specification (+0.32). The spillover layer should be presented as a contiguity result with these caveats stated.</w:t>
      </w:r>
    </w:p>
    <w:p>
      <w:pPr>
        <w:spacing w:after="100"/>
      </w:pPr>
      <w:r>
        <w:rPr>
          <w:b/>
        </w:rPr>
        <w:t xml:space="preserve">Exclusion restriction: passes in the aggregate, not sector by sector, and the aviation cycle is not separable from world growth. </w:t>
      </w:r>
      <w:r>
        <w:t>Total non-aviation CO2 does not respond to the instrument (reduced form 0.05 against 0.73 for aviation), and air geography beats sea geography in the placebo-instrument horse race. But coal and cement CO2 rise with the instrument (0.90 and 0.67) while power, buildings and agriculture fall, so the instrument predicts a recomposition of non-aviation emissions; and the world-GDP and world-export cycles interacted with the same geography are collinear with the aviation cycle (correlations 0.82 and 0.84), so we cannot show statistically that the identifying variation is aviation-specific rather than growth-specific. The Hansen test also rejects equality with the tourism instrument. These are reported in full in Methods; a referee may still regard them as the weakest point.</w:t>
      </w:r>
    </w:p>
    <w:p>
      <w:pPr>
        <w:spacing w:after="100"/>
      </w:pPr>
      <w:r>
        <w:rPr>
          <w:b/>
        </w:rPr>
        <w:t xml:space="preserve">Identification is concentrated in the expansion era and in low-baseline countries. </w:t>
      </w:r>
      <w:r>
        <w:t>The unrestricted post-2010 first stage has F = 7 (36.7 after dropping 2020 to 2021), the top baseline-connectivity tercile has F = 1.8, the fourth quintile has F of 0.0, and the high-income tercile has F = 10. The elasticity for mature networks is therefore imprecise (1.83, p = 0.06 for high income) and the gradient figure has a gap at the fourth quintile. The take-off interpretation is the honest reading, and the 42.5 percent attribution is the upper end of a 35 to 43 percent range.</w:t>
      </w:r>
    </w:p>
    <w:p>
      <w:pPr>
        <w:spacing w:after="100"/>
      </w:pPr>
      <w:r>
        <w:rPr>
          <w:b/>
        </w:rPr>
        <w:t xml:space="preserve">Correction to the August draft. </w:t>
      </w:r>
      <w:r>
        <w:t>The heterogeneity numbers in the August draft (11.43, 5.91, 0.35 by income tercile) were estimated on international CO2 but labelled as total CO2. The corrected total-CO2 estimates are 10.40, 6.14 and 1.83, and the regional pattern is unchanged (Europe is a precise zero, minus 0.61). Coauthors who cited the earlier numbers should update them.</w:t>
      </w:r>
    </w:p>
    <w:p>
      <w:pPr>
        <w:spacing w:after="100"/>
      </w:pPr>
      <w:r>
        <w:rPr>
          <w:b/>
        </w:rPr>
        <w:t xml:space="preserve">Airport level remains descriptive. </w:t>
      </w:r>
      <w:r>
        <w:t>The airport Feyrer shifter has no first stage within countries (F 0.4 to 0.7) and the earlier heritage-proximity instrument failed the size-by-cycle test; the concentration analysis applies the country elasticity to airports, and each country's largest airport cannot be estimated separately under country-by-year fixed effects. The airport layer answers the aggregation question descriptively, not causally.</w:t>
      </w:r>
    </w:p>
    <w:p>
      <w:pPr>
        <w:spacing w:after="100"/>
      </w:pPr>
      <w:r>
        <w:rPr>
          <w:b/>
        </w:rPr>
        <w:t xml:space="preserve">Level specifications are imprecise. </w:t>
      </w:r>
      <w:r>
        <w:t>The level-level slope (4.2 Mt per GACI unit, s.e. 2.0) and especially the top-tercile level slope (minus 27.7, not significant) are dominated by a few large emitters; the semi-log results are the informative complement to the log-log estimates.</w:t>
      </w:r>
    </w:p>
    <w:p>
      <w:pPr>
        <w:spacing w:after="100"/>
      </w:pPr>
      <w:r>
        <w:rPr>
          <w:b/>
        </w:rPr>
        <w:t xml:space="preserve">Domestic traffic. </w:t>
      </w:r>
      <w:r>
        <w:t>Own connectivity has no effect on domestic emissions (minus 0.64, s.e. 1.14) and the neighbour effect on domestic emissions is significant only with robust errors (2.02, s.e. 0.90; clustered 2.34). The paper's statements about domestic traffic should stay cautious.</w:t>
      </w:r>
    </w:p>
    <w:p>
      <w:pPr>
        <w:spacing w:after="100"/>
      </w:pPr>
      <w:r>
        <w:rPr>
          <w:b/>
        </w:rPr>
        <w:t xml:space="preserve">Inference convention changed to country clustering. </w:t>
      </w:r>
      <w:r>
        <w:t>All country-year tables in the canonical manuscript (co2_overleaf_20260903_cl) now use standard errors clustered by country (184 clusters); heteroskedasticity-robust results are kept only in Supplementary Table 1. Consequences: the headline elasticity is 5.67 with s.e. 1.12 (t = 5.1) and first-stage F = 18.4 rather than 154; the efficiency term (-0.40, s.e. 0.30) and the gauge and stage components are no longer individually significant, so the paper now describes the efficiency margin as small and imprecise; within-tercile and within-quintile first stages are weak (F between 2 and 16), so the heterogeneity gradient rests on the pooled interactions (-3.33, s.e. 0.57 by income; -2.33, s.e. 0.69 by connectivity) rather than on the split samples; the Hansen test against the tourism instrument now rejects only at 5 percent (J = 4.1); the sea-geography placebo still passes but the air first stage with the sea term included is weak (F = 3.0); the spillover results are unchanged because they were already reported with clustered errors.</w:t>
      </w:r>
    </w:p>
    <w:p>
      <w:pPr>
        <w:spacing w:after="100"/>
      </w:pPr>
      <w:r>
        <w:rPr>
          <w:b/>
        </w:rPr>
        <w:t xml:space="preserve">Length and display count. </w:t>
      </w:r>
      <w:r>
        <w:t>The restructured manuscript has about 4,100 words before Methods, four main tables and nine main figures, plus ten Extended Data tables, seven Extended Data figures and three Supplementary tables. This exceeds Nature-family limits and will need cutting at submission; the local LaTeX installation is broken, so the file has not yet been compiled (Overleaf required).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