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Identification: An Air-to-Sea Time-Varying Market Access Instrument</w:t>
      </w:r>
    </w:p>
    <w:p>
      <w:pPr>
        <w:spacing w:after="120" w:line="360" w:lineRule="auto"/>
      </w:pPr>
      <w:r>
        <w:rPr>
          <w:i w:val="0"/>
        </w:rPr>
        <w:t>Estimating the effect of air connectivity on trade is complicated by reverse causality and omitted variables: trade-intensive economies attract more air service, and unobserved national characteristics jointly shape both connectivity and trade. To recover a causal effect, we instrument national air connectivity using a strategy that combines the geography-based trade instrument of Frankel and Romer (1999) with the time-series logic of Feyrer (2019).</w:t>
      </w:r>
    </w:p>
    <w:p>
      <w:pPr>
        <w:spacing w:after="120" w:line="360" w:lineRule="auto"/>
      </w:pPr>
      <w:r>
        <w:rPr>
          <w:i w:val="0"/>
        </w:rPr>
        <w:t>The instrument rests on a single observation. A country's physical distances to world markets are fixed, but over the sample period the world economy shifted from sea to air transport as aviation capacity expanded. Countries for which air travel shortens distances most, relative to sea, gain connectivity disproportionately as global aviation grows. Because this differential gain evolves over time, the instrument generates within-country variation and therefore remains identified after the inclusion of country fixed effects, unlike purely cross-sectional gravity instruments.</w:t>
      </w:r>
    </w:p>
    <w:p>
      <w:pPr>
        <w:spacing w:after="120" w:line="360" w:lineRule="auto"/>
      </w:pPr>
      <w:r>
        <w:rPr>
          <w:i w:val="0"/>
        </w:rPr>
        <w:t>Construction proceeds in three steps. First, for each country c we compute a baseline air market access term,</w:t>
      </w:r>
    </w:p>
    <w:p>
      <w:pPr>
        <w:spacing w:before="80" w:after="80"/>
        <w:jc w:val="center"/>
      </w:pPr>
      <w:r>
        <w:rPr>
          <w:i/>
        </w:rPr>
        <w:t>MA(air)_c = Σ_{j≠c}  Pop_{j,1996} / ( D(air)_{cj} )^θ ,</w:t>
      </w:r>
    </w:p>
    <w:p>
      <w:pPr>
        <w:spacing w:after="120" w:line="360" w:lineRule="auto"/>
      </w:pPr>
      <w:r>
        <w:rPr>
          <w:i w:val="0"/>
        </w:rPr>
        <w:t>summed over all foreign countries j, where D(air)_{cj} is the great-circle distance between the airport-based centroids of countries c and j, Pop_{j,1996} is the 1996 population of country j, and the own country is excluded following the multilateral (leave-one-out) market access convention. Second, we measure global aviation intensity in year t, a_t, as worldwide scheduled seat capacity rescaled to the unit interval; this index rises from 0.003 in 1996 to 0.877 in 2023 and is exogenous to any individual country. Third, the instrument interacts the fixed geographic exposure with the time-varying shifter,</w:t>
      </w:r>
    </w:p>
    <w:p>
      <w:pPr>
        <w:spacing w:before="80" w:after="80"/>
        <w:jc w:val="center"/>
      </w:pPr>
      <w:r>
        <w:rPr>
          <w:i/>
        </w:rPr>
        <w:t>Z_{ct} = a_t × ln( MA(air)_c ) .</w:t>
      </w:r>
    </w:p>
    <w:p>
      <w:pPr>
        <w:spacing w:after="120" w:line="360" w:lineRule="auto"/>
      </w:pPr>
      <w:r>
        <w:rPr>
          <w:i w:val="0"/>
        </w:rPr>
        <w:t>This shift-share structure, in which a country-specific baseline share is scaled by a common global shock, is what allows the instrument to vary within country over time.</w:t>
      </w:r>
    </w:p>
    <w:p>
      <w:pPr>
        <w:spacing w:after="120" w:line="360" w:lineRule="auto"/>
      </w:pPr>
      <w:r>
        <w:rPr>
          <w:i w:val="0"/>
        </w:rPr>
        <w:t>The identifying assumption is that geographic air market access affects trade only through air connectivity, conditional on controls. The most plausible threat is that proximity to large markets raises trade directly through maritime and overland gravity channels, independent of aviation. We address this by controlling for sea market access,</w:t>
      </w:r>
    </w:p>
    <w:p>
      <w:pPr>
        <w:spacing w:before="80" w:after="80"/>
        <w:jc w:val="center"/>
      </w:pPr>
      <w:r>
        <w:rPr>
          <w:i/>
        </w:rPr>
        <w:t>MA(sea)_{ct} = Σ_{j≠c}  Pop_{jt} / ( D(sea)_{cj} )^θ ,</w:t>
      </w:r>
    </w:p>
    <w:p>
      <w:pPr>
        <w:spacing w:after="120" w:line="360" w:lineRule="auto"/>
      </w:pPr>
      <w:r>
        <w:rPr>
          <w:i w:val="0"/>
        </w:rPr>
        <w:t>where D(sea)_{cj} is the port-to-port maritime distance from the CERDI sea-distance database (Bertoli, Goujon, and Santoni 2016). Conditioning on maritime market access absorbs the direct geography-to-trade channel, so that the residual variation used for identification reflects the aviation-specific reduction in distance.</w:t>
      </w:r>
    </w:p>
    <w:p>
      <w:pPr>
        <w:spacing w:after="120" w:line="360" w:lineRule="auto"/>
      </w:pPr>
      <w:r>
        <w:rPr>
          <w:i w:val="0"/>
        </w:rPr>
        <w:t>The second-stage equation is</w:t>
      </w:r>
    </w:p>
    <w:p>
      <w:pPr>
        <w:spacing w:before="80" w:after="80"/>
        <w:jc w:val="center"/>
      </w:pPr>
      <w:r>
        <w:rPr>
          <w:i/>
        </w:rPr>
        <w:t>Y_{ct} = β Connectivity_{ct} + γ MA(sea)_{ct} + δ′X_{ct} + α_c + λ_t + ε_{ct} ,</w:t>
      </w:r>
    </w:p>
    <w:p>
      <w:pPr>
        <w:spacing w:after="120" w:line="360" w:lineRule="auto"/>
      </w:pPr>
      <w:r>
        <w:rPr>
          <w:i w:val="0"/>
        </w:rPr>
        <w:t>where Y denotes a trade outcome (trade openness, log trade-to-GDP, or log trade volume), Connectivity is instrumented by Z_{ct}, X is a vector of controls, and α_c and λ_t are country and year fixed effects. The instrument is strong under this two-way fixed-effects specification, with a Kleibergen-Paap first-stage F statistic of 94.6 when the treatment is total connectivity and 162.8 when it is hub quality, comfortably above conventional weak-instrument thresholds. Standard errors are reported both heteroskedasticity-robust and clustered by country.</w:t>
      </w:r>
    </w:p>
    <w:p/>
    <w:p>
      <w:r>
        <w:rPr>
          <w:b/>
        </w:rPr>
        <w:t>References</w:t>
      </w:r>
    </w:p>
    <w:p>
      <w:pPr>
        <w:ind w:left="360" w:hanging="360"/>
      </w:pPr>
      <w:r>
        <w:rPr>
          <w:sz w:val="20"/>
        </w:rPr>
        <w:t>Bertoli, S., M. Goujon, and O. Santoni (2016). The CERDI-seadistance database. CERDI Working Paper 2016/7.</w:t>
      </w:r>
    </w:p>
    <w:p>
      <w:pPr>
        <w:ind w:left="360" w:hanging="360"/>
      </w:pPr>
      <w:r>
        <w:rPr>
          <w:sz w:val="20"/>
        </w:rPr>
        <w:t>Feyrer, J. (2019). Trade and Income: Exploiting Time Series in Geography. American Economic Journal: Applied Economics, 11(4), 1-35.</w:t>
      </w:r>
    </w:p>
    <w:p>
      <w:pPr>
        <w:ind w:left="360" w:hanging="360"/>
      </w:pPr>
      <w:r>
        <w:rPr>
          <w:sz w:val="20"/>
        </w:rPr>
        <w:t>Frankel, J. A., and D. Romer (1999). Does Trade Cause Growth? American Economic Review, 89(3), 379-399.</w:t>
      </w:r>
    </w:p>
    <w:p>
      <w:pPr>
        <w:ind w:left="360" w:hanging="360"/>
      </w:pPr>
      <w:r>
        <w:rPr>
          <w:sz w:val="20"/>
        </w:rPr>
        <w:t>Goldsmith-Pinkham, P., I. Sorkin, and H. Swift (2020). Bartik Instruments: What, When, Why, and How. American Economic Review, 110(8), 2586-2624.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