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 Connectivity and Trade: IV Estimates</w:t>
      </w:r>
    </w:p>
    <w:p>
      <w:r>
        <w:rPr>
          <w:i/>
          <w:sz w:val="16"/>
        </w:rPr>
        <w:t>Instrument: Feyrer (2019)-style air/sea time-varying market access, feyrer_int = a_t x ln(air market access, 1996), with sea-distance market access (CERDI) as control. All models country and year fixed effects. Robust SE in (parentheses), country-clustered SE in [brackets].</w:t>
      </w:r>
    </w:p>
    <w:p>
      <w:r>
        <w:rPr>
          <w:b/>
          <w:sz w:val="22"/>
        </w:rPr>
        <w:t>Table 1. Air connectivity and trade openness: OLS vs. IV (2SLS)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Trade openness</w:t>
              <w:br/>
              <w:t>(trade % GDP)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 trade/GDP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Log trade volume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Panel A. Treatment = total connectivity (log GACI sum)</w:t>
            </w:r>
          </w:p>
        </w:tc>
      </w:tr>
      <w:tr>
        <w:tc>
          <w:tcPr>
            <w:tcW w:type="dxa" w:w="2160"/>
          </w:tcPr>
          <w:p>
            <w:r>
              <w:t>Air connectivity (IV, 2SLS)</w:t>
            </w:r>
          </w:p>
        </w:tc>
        <w:tc>
          <w:tcPr>
            <w:tcW w:type="dxa" w:w="2160"/>
          </w:tcPr>
          <w:p>
            <w:r>
              <w:t>60.37***</w:t>
            </w:r>
          </w:p>
        </w:tc>
        <w:tc>
          <w:tcPr>
            <w:tcW w:type="dxa" w:w="2160"/>
          </w:tcPr>
          <w:p>
            <w:r>
              <w:t>0.188**</w:t>
            </w:r>
          </w:p>
        </w:tc>
        <w:tc>
          <w:tcPr>
            <w:tcW w:type="dxa" w:w="2160"/>
          </w:tcPr>
          <w:p>
            <w:r>
              <w:t>0.493***</w:t>
            </w:r>
          </w:p>
        </w:tc>
      </w:tr>
      <w:tr>
        <w:tc>
          <w:tcPr>
            <w:tcW w:type="dxa" w:w="2160"/>
          </w:tcPr>
          <w:p>
            <w:r>
              <w:t xml:space="preserve">   Robust SE</w:t>
            </w:r>
          </w:p>
        </w:tc>
        <w:tc>
          <w:tcPr>
            <w:tcW w:type="dxa" w:w="2160"/>
          </w:tcPr>
          <w:p>
            <w:r>
              <w:t>(10.58)</w:t>
            </w:r>
          </w:p>
        </w:tc>
        <w:tc>
          <w:tcPr>
            <w:tcW w:type="dxa" w:w="2160"/>
          </w:tcPr>
          <w:p>
            <w:r>
              <w:t>(0.076)</w:t>
            </w:r>
          </w:p>
        </w:tc>
        <w:tc>
          <w:tcPr>
            <w:tcW w:type="dxa" w:w="2160"/>
          </w:tcPr>
          <w:p>
            <w:r>
              <w:t>(0.113)</w:t>
            </w:r>
          </w:p>
        </w:tc>
      </w:tr>
      <w:tr>
        <w:tc>
          <w:tcPr>
            <w:tcW w:type="dxa" w:w="2160"/>
          </w:tcPr>
          <w:p>
            <w:r>
              <w:t xml:space="preserve">   Clustered SE</w:t>
            </w:r>
          </w:p>
        </w:tc>
        <w:tc>
          <w:tcPr>
            <w:tcW w:type="dxa" w:w="2160"/>
          </w:tcPr>
          <w:p>
            <w:r>
              <w:t>[30.15]+</w:t>
            </w:r>
          </w:p>
        </w:tc>
        <w:tc>
          <w:tcPr>
            <w:tcW w:type="dxa" w:w="2160"/>
          </w:tcPr>
          <w:p>
            <w:r>
              <w:t>[0.203]</w:t>
            </w:r>
          </w:p>
        </w:tc>
        <w:tc>
          <w:tcPr>
            <w:tcW w:type="dxa" w:w="2160"/>
          </w:tcPr>
          <w:p>
            <w:r>
              <w:t>[0.282]</w:t>
            </w:r>
          </w:p>
        </w:tc>
      </w:tr>
      <w:tr>
        <w:tc>
          <w:tcPr>
            <w:tcW w:type="dxa" w:w="2160"/>
          </w:tcPr>
          <w:p>
            <w:r>
              <w:t>OLS benchmark</w:t>
            </w:r>
          </w:p>
        </w:tc>
        <w:tc>
          <w:tcPr>
            <w:tcW w:type="dxa" w:w="2160"/>
          </w:tcPr>
          <w:p>
            <w:r>
              <w:t>-0.37</w:t>
            </w:r>
          </w:p>
        </w:tc>
        <w:tc>
          <w:tcPr>
            <w:tcW w:type="dxa" w:w="2160"/>
          </w:tcPr>
          <w:p>
            <w:r>
              <w:t>-0.022</w:t>
            </w:r>
          </w:p>
        </w:tc>
        <w:tc>
          <w:tcPr>
            <w:tcW w:type="dxa" w:w="2160"/>
          </w:tcPr>
          <w:p>
            <w:r>
              <w:t>0.020</w:t>
            </w:r>
          </w:p>
        </w:tc>
      </w:tr>
      <w:tr>
        <w:tc>
          <w:tcPr>
            <w:tcW w:type="dxa" w:w="2160"/>
          </w:tcPr>
          <w:p>
            <w:r>
              <w:t>First-stage KP F</w:t>
            </w:r>
          </w:p>
        </w:tc>
        <w:tc>
          <w:tcPr>
            <w:tcW w:type="dxa" w:w="2160"/>
          </w:tcPr>
          <w:p>
            <w:r>
              <w:t>94.6</w:t>
            </w:r>
          </w:p>
        </w:tc>
        <w:tc>
          <w:tcPr>
            <w:tcW w:type="dxa" w:w="2160"/>
          </w:tcPr>
          <w:p>
            <w:r>
              <w:t>94.6</w:t>
            </w:r>
          </w:p>
        </w:tc>
        <w:tc>
          <w:tcPr>
            <w:tcW w:type="dxa" w:w="2160"/>
          </w:tcPr>
          <w:p>
            <w:r>
              <w:t>50.8</w:t>
            </w:r>
          </w:p>
        </w:tc>
      </w:tr>
      <w:tr>
        <w:tc>
          <w:tcPr>
            <w:tcW w:type="dxa" w:w="2160"/>
          </w:tcPr>
          <w:p>
            <w:r>
              <w:t>Observations</w:t>
            </w:r>
          </w:p>
        </w:tc>
        <w:tc>
          <w:tcPr>
            <w:tcW w:type="dxa" w:w="2160"/>
          </w:tcPr>
          <w:p>
            <w:r>
              <w:t>4,701</w:t>
            </w:r>
          </w:p>
        </w:tc>
        <w:tc>
          <w:tcPr>
            <w:tcW w:type="dxa" w:w="2160"/>
          </w:tcPr>
          <w:p>
            <w:r>
              <w:t>4,701</w:t>
            </w:r>
          </w:p>
        </w:tc>
        <w:tc>
          <w:tcPr>
            <w:tcW w:type="dxa" w:w="2160"/>
          </w:tcPr>
          <w:p>
            <w:r>
              <w:t>4,701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Panel B. Treatment = hub quality (log capacity-weighted-mean GACI)</w:t>
            </w:r>
          </w:p>
        </w:tc>
      </w:tr>
      <w:tr>
        <w:tc>
          <w:tcPr>
            <w:tcW w:type="dxa" w:w="2160"/>
          </w:tcPr>
          <w:p>
            <w:r>
              <w:t>Air connectivity (IV, 2SLS)</w:t>
            </w:r>
          </w:p>
        </w:tc>
        <w:tc>
          <w:tcPr>
            <w:tcW w:type="dxa" w:w="2160"/>
          </w:tcPr>
          <w:p>
            <w:r>
              <w:t>148.78***</w:t>
            </w:r>
          </w:p>
        </w:tc>
        <w:tc>
          <w:tcPr>
            <w:tcW w:type="dxa" w:w="2160"/>
          </w:tcPr>
          <w:p>
            <w:r>
              <w:t>0.463**</w:t>
            </w:r>
          </w:p>
        </w:tc>
        <w:tc>
          <w:tcPr>
            <w:tcW w:type="dxa" w:w="2160"/>
          </w:tcPr>
          <w:p>
            <w:r>
              <w:t>1.116***</w:t>
            </w:r>
          </w:p>
        </w:tc>
      </w:tr>
      <w:tr>
        <w:tc>
          <w:tcPr>
            <w:tcW w:type="dxa" w:w="2160"/>
          </w:tcPr>
          <w:p>
            <w:r>
              <w:t xml:space="preserve">   Robust SE</w:t>
            </w:r>
          </w:p>
        </w:tc>
        <w:tc>
          <w:tcPr>
            <w:tcW w:type="dxa" w:w="2160"/>
          </w:tcPr>
          <w:p>
            <w:r>
              <w:t>(23.54)</w:t>
            </w:r>
          </w:p>
        </w:tc>
        <w:tc>
          <w:tcPr>
            <w:tcW w:type="dxa" w:w="2160"/>
          </w:tcPr>
          <w:p>
            <w:r>
              <w:t>(0.181)</w:t>
            </w:r>
          </w:p>
        </w:tc>
        <w:tc>
          <w:tcPr>
            <w:tcW w:type="dxa" w:w="2160"/>
          </w:tcPr>
          <w:p>
            <w:r>
              <w:t>(0.227)</w:t>
            </w:r>
          </w:p>
        </w:tc>
      </w:tr>
      <w:tr>
        <w:tc>
          <w:tcPr>
            <w:tcW w:type="dxa" w:w="2160"/>
          </w:tcPr>
          <w:p>
            <w:r>
              <w:t xml:space="preserve">   Clustered SE</w:t>
            </w:r>
          </w:p>
        </w:tc>
        <w:tc>
          <w:tcPr>
            <w:tcW w:type="dxa" w:w="2160"/>
          </w:tcPr>
          <w:p>
            <w:r>
              <w:t>[70.24]+</w:t>
            </w:r>
          </w:p>
        </w:tc>
        <w:tc>
          <w:tcPr>
            <w:tcW w:type="dxa" w:w="2160"/>
          </w:tcPr>
          <w:p>
            <w:r>
              <w:t>[0.489]</w:t>
            </w:r>
          </w:p>
        </w:tc>
        <w:tc>
          <w:tcPr>
            <w:tcW w:type="dxa" w:w="2160"/>
          </w:tcPr>
          <w:p>
            <w:r>
              <w:t>[0.598]</w:t>
            </w:r>
          </w:p>
        </w:tc>
      </w:tr>
      <w:tr>
        <w:tc>
          <w:tcPr>
            <w:tcW w:type="dxa" w:w="2160"/>
          </w:tcPr>
          <w:p>
            <w:r>
              <w:t>OLS benchmark</w:t>
            </w:r>
          </w:p>
        </w:tc>
        <w:tc>
          <w:tcPr>
            <w:tcW w:type="dxa" w:w="2160"/>
          </w:tcPr>
          <w:p>
            <w:r>
              <w:t>20.84***</w:t>
            </w:r>
          </w:p>
        </w:tc>
        <w:tc>
          <w:tcPr>
            <w:tcW w:type="dxa" w:w="2160"/>
          </w:tcPr>
          <w:p>
            <w:r>
              <w:t>0.177***</w:t>
            </w:r>
          </w:p>
        </w:tc>
        <w:tc>
          <w:tcPr>
            <w:tcW w:type="dxa" w:w="2160"/>
          </w:tcPr>
          <w:p>
            <w:r>
              <w:t>0.371***</w:t>
            </w:r>
          </w:p>
        </w:tc>
      </w:tr>
      <w:tr>
        <w:tc>
          <w:tcPr>
            <w:tcW w:type="dxa" w:w="2160"/>
          </w:tcPr>
          <w:p>
            <w:r>
              <w:t>First-stage KP F</w:t>
            </w:r>
          </w:p>
        </w:tc>
        <w:tc>
          <w:tcPr>
            <w:tcW w:type="dxa" w:w="2160"/>
          </w:tcPr>
          <w:p>
            <w:r>
              <w:t>162.8</w:t>
            </w:r>
          </w:p>
        </w:tc>
        <w:tc>
          <w:tcPr>
            <w:tcW w:type="dxa" w:w="2160"/>
          </w:tcPr>
          <w:p>
            <w:r>
              <w:t>162.8</w:t>
            </w:r>
          </w:p>
        </w:tc>
        <w:tc>
          <w:tcPr>
            <w:tcW w:type="dxa" w:w="2160"/>
          </w:tcPr>
          <w:p>
            <w:r>
              <w:t>103.2</w:t>
            </w:r>
          </w:p>
        </w:tc>
      </w:tr>
      <w:tr>
        <w:tc>
          <w:tcPr>
            <w:tcW w:type="dxa" w:w="2160"/>
          </w:tcPr>
          <w:p>
            <w:r>
              <w:t>Observations</w:t>
            </w:r>
          </w:p>
        </w:tc>
        <w:tc>
          <w:tcPr>
            <w:tcW w:type="dxa" w:w="2160"/>
          </w:tcPr>
          <w:p>
            <w:r>
              <w:t>4,701</w:t>
            </w:r>
          </w:p>
        </w:tc>
        <w:tc>
          <w:tcPr>
            <w:tcW w:type="dxa" w:w="2160"/>
          </w:tcPr>
          <w:p>
            <w:r>
              <w:t>4,701</w:t>
            </w:r>
          </w:p>
        </w:tc>
        <w:tc>
          <w:tcPr>
            <w:tcW w:type="dxa" w:w="2160"/>
          </w:tcPr>
          <w:p>
            <w:r>
              <w:t>4,701</w:t>
            </w:r>
          </w:p>
        </w:tc>
      </w:tr>
    </w:tbl>
    <w:p>
      <w:r>
        <w:rPr>
          <w:i/>
          <w:sz w:val="16"/>
        </w:rPr>
        <w:t>* p&lt;0.10, ** p&lt;0.05, *** p&lt;0.01 (robust). "+" marks coefficients that remain significant at 5% under country-clustered SE. Hub-quality units are not comparable in scale to the connectivity-sum treatment. First-stage Kleibergen-Paap F is the weak-identification statistic.</w:t>
      </w:r>
    </w:p>
    <w:p/>
    <w:p>
      <w:r>
        <w:rPr>
          <w:b/>
          <w:sz w:val="22"/>
        </w:rPr>
        <w:t>Table 2. Heterogeneity of the IV effect across country groups (split-sample)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Subgroup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Trade openness</w:t>
              <w:br/>
              <w:t>(trade % GDP)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Log trade/GDP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Log trade 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First-stage</w:t>
              <w:br/>
              <w:t>KP F</w:t>
            </w:r>
          </w:p>
        </w:tc>
      </w:tr>
      <w:tr>
        <w:tc>
          <w:tcPr>
            <w:tcW w:type="dxa" w:w="1728"/>
          </w:tcPr>
          <w:p>
            <w:r>
              <w:t>Coastal</w:t>
            </w:r>
          </w:p>
        </w:tc>
        <w:tc>
          <w:tcPr>
            <w:tcW w:type="dxa" w:w="1728"/>
          </w:tcPr>
          <w:p>
            <w:r>
              <w:t>91.42***</w:t>
              <w:br/>
              <w:t>(19.16)</w:t>
            </w:r>
          </w:p>
        </w:tc>
        <w:tc>
          <w:tcPr>
            <w:tcW w:type="dxa" w:w="1728"/>
          </w:tcPr>
          <w:p>
            <w:r>
              <w:t>0.359***</w:t>
              <w:br/>
              <w:t>(0.119)</w:t>
            </w:r>
          </w:p>
        </w:tc>
        <w:tc>
          <w:tcPr>
            <w:tcW w:type="dxa" w:w="1728"/>
          </w:tcPr>
          <w:p>
            <w:r>
              <w:t>0.730***</w:t>
              <w:br/>
              <w:t>(0.207)</w:t>
            </w:r>
          </w:p>
        </w:tc>
        <w:tc>
          <w:tcPr>
            <w:tcW w:type="dxa" w:w="1728"/>
          </w:tcPr>
          <w:p>
            <w:r>
              <w:t>39.2</w:t>
            </w:r>
          </w:p>
        </w:tc>
      </w:tr>
      <w:tr>
        <w:tc>
          <w:tcPr>
            <w:tcW w:type="dxa" w:w="1728"/>
          </w:tcPr>
          <w:p>
            <w:r>
              <w:t>Landlocked</w:t>
            </w:r>
          </w:p>
        </w:tc>
        <w:tc>
          <w:tcPr>
            <w:tcW w:type="dxa" w:w="1728"/>
          </w:tcPr>
          <w:p>
            <w:r>
              <w:t>6.03</w:t>
              <w:br/>
              <w:t>(9.04)</w:t>
            </w:r>
          </w:p>
        </w:tc>
        <w:tc>
          <w:tcPr>
            <w:tcW w:type="dxa" w:w="1728"/>
          </w:tcPr>
          <w:p>
            <w:r>
              <w:t>-0.101</w:t>
              <w:br/>
              <w:t>(0.101)</w:t>
            </w:r>
          </w:p>
        </w:tc>
        <w:tc>
          <w:tcPr>
            <w:tcW w:type="dxa" w:w="1728"/>
          </w:tcPr>
          <w:p>
            <w:r>
              <w:t>0.005</w:t>
              <w:br/>
              <w:t>(0.098)</w:t>
            </w:r>
          </w:p>
        </w:tc>
        <w:tc>
          <w:tcPr>
            <w:tcW w:type="dxa" w:w="1728"/>
          </w:tcPr>
          <w:p>
            <w:r>
              <w:t>52.5</w:t>
            </w:r>
          </w:p>
        </w:tc>
      </w:tr>
      <w:tr>
        <w:tc>
          <w:tcPr>
            <w:tcW w:type="dxa" w:w="1728"/>
          </w:tcPr>
          <w:p>
            <w:r>
              <w:t>Low aviation advantage</w:t>
            </w:r>
          </w:p>
        </w:tc>
        <w:tc>
          <w:tcPr>
            <w:tcW w:type="dxa" w:w="1728"/>
          </w:tcPr>
          <w:p>
            <w:r>
              <w:t>25.08**</w:t>
              <w:br/>
              <w:t>(10.93)</w:t>
            </w:r>
          </w:p>
        </w:tc>
        <w:tc>
          <w:tcPr>
            <w:tcW w:type="dxa" w:w="1728"/>
          </w:tcPr>
          <w:p>
            <w:r>
              <w:t>0.096</w:t>
              <w:br/>
              <w:t>(0.102)</w:t>
            </w:r>
          </w:p>
        </w:tc>
        <w:tc>
          <w:tcPr>
            <w:tcW w:type="dxa" w:w="1728"/>
          </w:tcPr>
          <w:p>
            <w:r>
              <w:t>0.333**</w:t>
              <w:br/>
              <w:t>(0.132)</w:t>
            </w:r>
          </w:p>
        </w:tc>
        <w:tc>
          <w:tcPr>
            <w:tcW w:type="dxa" w:w="1728"/>
          </w:tcPr>
          <w:p>
            <w:r>
              <w:t>54.3</w:t>
            </w:r>
          </w:p>
        </w:tc>
      </w:tr>
      <w:tr>
        <w:tc>
          <w:tcPr>
            <w:tcW w:type="dxa" w:w="1728"/>
          </w:tcPr>
          <w:p>
            <w:r>
              <w:t>High aviation advantage</w:t>
            </w:r>
          </w:p>
        </w:tc>
        <w:tc>
          <w:tcPr>
            <w:tcW w:type="dxa" w:w="1728"/>
          </w:tcPr>
          <w:p>
            <w:r>
              <w:t>17.13</w:t>
              <w:br/>
              <w:t>(10.82)</w:t>
            </w:r>
          </w:p>
        </w:tc>
        <w:tc>
          <w:tcPr>
            <w:tcW w:type="dxa" w:w="1728"/>
          </w:tcPr>
          <w:p>
            <w:r>
              <w:t>-0.244**</w:t>
              <w:br/>
              <w:t>(0.121)</w:t>
            </w:r>
          </w:p>
        </w:tc>
        <w:tc>
          <w:tcPr>
            <w:tcW w:type="dxa" w:w="1728"/>
          </w:tcPr>
          <w:p>
            <w:r>
              <w:t>-0.146</w:t>
              <w:br/>
              <w:t>(0.148)</w:t>
            </w:r>
          </w:p>
        </w:tc>
        <w:tc>
          <w:tcPr>
            <w:tcW w:type="dxa" w:w="1728"/>
          </w:tcPr>
          <w:p>
            <w:r>
              <w:t>41.4</w:t>
            </w:r>
          </w:p>
        </w:tc>
      </w:tr>
      <w:tr>
        <w:tc>
          <w:tcPr>
            <w:tcW w:type="dxa" w:w="1728"/>
          </w:tcPr>
          <w:p>
            <w:r>
              <w:t>Low income (baseline)</w:t>
            </w:r>
          </w:p>
        </w:tc>
        <w:tc>
          <w:tcPr>
            <w:tcW w:type="dxa" w:w="1728"/>
          </w:tcPr>
          <w:p>
            <w:r>
              <w:t>-26.43***</w:t>
              <w:br/>
              <w:t>(6.39)</w:t>
            </w:r>
          </w:p>
        </w:tc>
        <w:tc>
          <w:tcPr>
            <w:tcW w:type="dxa" w:w="1728"/>
          </w:tcPr>
          <w:p>
            <w:r>
              <w:t>-0.437***</w:t>
              <w:br/>
              <w:t>(0.090)</w:t>
            </w:r>
          </w:p>
        </w:tc>
        <w:tc>
          <w:tcPr>
            <w:tcW w:type="dxa" w:w="1728"/>
          </w:tcPr>
          <w:p>
            <w:r>
              <w:t>-0.450**</w:t>
              <w:br/>
              <w:t>(0.187)</w:t>
            </w:r>
          </w:p>
        </w:tc>
        <w:tc>
          <w:tcPr>
            <w:tcW w:type="dxa" w:w="1728"/>
          </w:tcPr>
          <w:p>
            <w:r>
              <w:t>53.1</w:t>
            </w:r>
          </w:p>
        </w:tc>
      </w:tr>
      <w:tr>
        <w:tc>
          <w:tcPr>
            <w:tcW w:type="dxa" w:w="1728"/>
          </w:tcPr>
          <w:p>
            <w:r>
              <w:t>High income (baseline)</w:t>
            </w:r>
          </w:p>
        </w:tc>
        <w:tc>
          <w:tcPr>
            <w:tcW w:type="dxa" w:w="1728"/>
          </w:tcPr>
          <w:p>
            <w:r>
              <w:t>299.63***</w:t>
              <w:br/>
              <w:t>(64.25)</w:t>
            </w:r>
          </w:p>
        </w:tc>
        <w:tc>
          <w:tcPr>
            <w:tcW w:type="dxa" w:w="1728"/>
          </w:tcPr>
          <w:p>
            <w:r>
              <w:t>1.751***</w:t>
              <w:br/>
              <w:t>(0.368)</w:t>
            </w:r>
          </w:p>
        </w:tc>
        <w:tc>
          <w:tcPr>
            <w:tcW w:type="dxa" w:w="1728"/>
          </w:tcPr>
          <w:p>
            <w:r>
              <w:t>1.916***</w:t>
              <w:br/>
              <w:t>(0.413)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</w:tr>
      <w:tr>
        <w:tc>
          <w:tcPr>
            <w:tcW w:type="dxa" w:w="1728"/>
          </w:tcPr>
          <w:p>
            <w:r>
              <w:t>Small (baseline pop.)</w:t>
            </w:r>
          </w:p>
        </w:tc>
        <w:tc>
          <w:tcPr>
            <w:tcW w:type="dxa" w:w="1728"/>
          </w:tcPr>
          <w:p>
            <w:r>
              <w:t>74.61***</w:t>
              <w:br/>
              <w:t>(14.18)</w:t>
            </w:r>
          </w:p>
        </w:tc>
        <w:tc>
          <w:tcPr>
            <w:tcW w:type="dxa" w:w="1728"/>
          </w:tcPr>
          <w:p>
            <w:r>
              <w:t>0.298***</w:t>
              <w:br/>
              <w:t>(0.086)</w:t>
            </w:r>
          </w:p>
        </w:tc>
        <w:tc>
          <w:tcPr>
            <w:tcW w:type="dxa" w:w="1728"/>
          </w:tcPr>
          <w:p>
            <w:r>
              <w:t>0.498***</w:t>
              <w:br/>
              <w:t>(0.113)</w:t>
            </w:r>
          </w:p>
        </w:tc>
        <w:tc>
          <w:tcPr>
            <w:tcW w:type="dxa" w:w="1728"/>
          </w:tcPr>
          <w:p>
            <w:r>
              <w:t>71.2</w:t>
            </w:r>
          </w:p>
        </w:tc>
      </w:tr>
      <w:tr>
        <w:tc>
          <w:tcPr>
            <w:tcW w:type="dxa" w:w="1728"/>
          </w:tcPr>
          <w:p>
            <w:r>
              <w:t>Large (baseline pop.)</w:t>
            </w:r>
          </w:p>
        </w:tc>
        <w:tc>
          <w:tcPr>
            <w:tcW w:type="dxa" w:w="1728"/>
          </w:tcPr>
          <w:p>
            <w:r>
              <w:t>23.43*</w:t>
              <w:br/>
              <w:t>(13.53)</w:t>
            </w:r>
          </w:p>
        </w:tc>
        <w:tc>
          <w:tcPr>
            <w:tcW w:type="dxa" w:w="1728"/>
          </w:tcPr>
          <w:p>
            <w:r>
              <w:t>-0.130</w:t>
              <w:br/>
              <w:t>(0.184)</w:t>
            </w:r>
          </w:p>
        </w:tc>
        <w:tc>
          <w:tcPr>
            <w:tcW w:type="dxa" w:w="1728"/>
          </w:tcPr>
          <w:p>
            <w:r>
              <w:t>0.419</w:t>
              <w:br/>
              <w:t>(0.381)</w:t>
            </w:r>
          </w:p>
        </w:tc>
        <w:tc>
          <w:tcPr>
            <w:tcW w:type="dxa" w:w="1728"/>
          </w:tcPr>
          <w:p>
            <w:r>
              <w:t>20.4</w:t>
            </w:r>
          </w:p>
        </w:tc>
      </w:tr>
      <w:tr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136.92***</w:t>
              <w:br/>
              <w:t>(34.79)</w:t>
            </w:r>
          </w:p>
        </w:tc>
        <w:tc>
          <w:tcPr>
            <w:tcW w:type="dxa" w:w="1728"/>
          </w:tcPr>
          <w:p>
            <w:r>
              <w:t>0.604***</w:t>
              <w:br/>
              <w:t>(0.184)</w:t>
            </w:r>
          </w:p>
        </w:tc>
        <w:tc>
          <w:tcPr>
            <w:tcW w:type="dxa" w:w="1728"/>
          </w:tcPr>
          <w:p>
            <w:r>
              <w:t>1.079***</w:t>
              <w:br/>
              <w:t>(0.347)</w:t>
            </w:r>
          </w:p>
        </w:tc>
        <w:tc>
          <w:tcPr>
            <w:tcW w:type="dxa" w:w="1728"/>
          </w:tcPr>
          <w:p>
            <w:r>
              <w:t>22.6</w:t>
            </w:r>
          </w:p>
        </w:tc>
      </w:tr>
      <w:tr>
        <w:tc>
          <w:tcPr>
            <w:tcW w:type="dxa" w:w="1728"/>
          </w:tcPr>
          <w:p>
            <w:r>
              <w:t>Asia</w:t>
            </w:r>
          </w:p>
        </w:tc>
        <w:tc>
          <w:tcPr>
            <w:tcW w:type="dxa" w:w="1728"/>
          </w:tcPr>
          <w:p>
            <w:r>
              <w:t>-100.36***</w:t>
              <w:br/>
              <w:t>(30.41)</w:t>
            </w:r>
          </w:p>
        </w:tc>
        <w:tc>
          <w:tcPr>
            <w:tcW w:type="dxa" w:w="1728"/>
          </w:tcPr>
          <w:p>
            <w:r>
              <w:t>-0.658***</w:t>
              <w:br/>
              <w:t>(0.229)</w:t>
            </w:r>
          </w:p>
        </w:tc>
        <w:tc>
          <w:tcPr>
            <w:tcW w:type="dxa" w:w="1728"/>
          </w:tcPr>
          <w:p>
            <w:r>
              <w:t>-0.635***</w:t>
              <w:br/>
              <w:t>(0.240)</w:t>
            </w:r>
          </w:p>
        </w:tc>
        <w:tc>
          <w:tcPr>
            <w:tcW w:type="dxa" w:w="1728"/>
          </w:tcPr>
          <w:p>
            <w:r>
              <w:t>14.5</w:t>
            </w:r>
          </w:p>
        </w:tc>
      </w:tr>
      <w:tr>
        <w:tc>
          <w:tcPr>
            <w:tcW w:type="dxa" w:w="1728"/>
          </w:tcPr>
          <w:p>
            <w:r>
              <w:t>Africa</w:t>
            </w:r>
          </w:p>
        </w:tc>
        <w:tc>
          <w:tcPr>
            <w:tcW w:type="dxa" w:w="1728"/>
          </w:tcPr>
          <w:p>
            <w:r>
              <w:t>-5.47</w:t>
              <w:br/>
              <w:t>(15.24)</w:t>
            </w:r>
          </w:p>
        </w:tc>
        <w:tc>
          <w:tcPr>
            <w:tcW w:type="dxa" w:w="1728"/>
          </w:tcPr>
          <w:p>
            <w:r>
              <w:t>-0.304</w:t>
              <w:br/>
              <w:t>(0.211)</w:t>
            </w:r>
          </w:p>
        </w:tc>
        <w:tc>
          <w:tcPr>
            <w:tcW w:type="dxa" w:w="1728"/>
          </w:tcPr>
          <w:p>
            <w:r>
              <w:t>-0.267</w:t>
              <w:br/>
              <w:t>(0.219)</w:t>
            </w:r>
          </w:p>
        </w:tc>
        <w:tc>
          <w:tcPr>
            <w:tcW w:type="dxa" w:w="1728"/>
          </w:tcPr>
          <w:p>
            <w:r>
              <w:t>25.6</w:t>
            </w:r>
          </w:p>
        </w:tc>
      </w:tr>
      <w:tr>
        <w:tc>
          <w:tcPr>
            <w:tcW w:type="dxa" w:w="1728"/>
          </w:tcPr>
          <w:p>
            <w:r>
              <w:t>Latin America</w:t>
            </w:r>
          </w:p>
        </w:tc>
        <w:tc>
          <w:tcPr>
            <w:tcW w:type="dxa" w:w="1728"/>
          </w:tcPr>
          <w:p>
            <w:r>
              <w:t>-1,146.49</w:t>
              <w:br/>
              <w:t>(2,338.40)</w:t>
            </w:r>
          </w:p>
        </w:tc>
        <w:tc>
          <w:tcPr>
            <w:tcW w:type="dxa" w:w="1728"/>
          </w:tcPr>
          <w:p>
            <w:r>
              <w:t>-0.378</w:t>
              <w:br/>
              <w:t>(2.148)</w:t>
            </w:r>
          </w:p>
        </w:tc>
        <w:tc>
          <w:tcPr>
            <w:tcW w:type="dxa" w:w="1728"/>
          </w:tcPr>
          <w:p>
            <w:r>
              <w:t>-5.003</w:t>
              <w:br/>
              <w:t>(33.726)</w:t>
            </w:r>
          </w:p>
        </w:tc>
        <w:tc>
          <w:tcPr>
            <w:tcW w:type="dxa" w:w="1728"/>
          </w:tcPr>
          <w:p>
            <w:r>
              <w:t>0.2 (weak)</w:t>
            </w:r>
          </w:p>
        </w:tc>
      </w:tr>
      <w:tr>
        <w:tc>
          <w:tcPr>
            <w:tcW w:type="dxa" w:w="1728"/>
          </w:tcPr>
          <w:p>
            <w:r>
              <w:t>Middle East</w:t>
            </w:r>
          </w:p>
        </w:tc>
        <w:tc>
          <w:tcPr>
            <w:tcW w:type="dxa" w:w="1728"/>
          </w:tcPr>
          <w:p>
            <w:r>
              <w:t>159.42</w:t>
              <w:br/>
              <w:t>(125.37)</w:t>
            </w:r>
          </w:p>
        </w:tc>
        <w:tc>
          <w:tcPr>
            <w:tcW w:type="dxa" w:w="1728"/>
          </w:tcPr>
          <w:p>
            <w:r>
              <w:t>2.422</w:t>
              <w:br/>
              <w:t>(1.890)</w:t>
            </w:r>
          </w:p>
        </w:tc>
        <w:tc>
          <w:tcPr>
            <w:tcW w:type="dxa" w:w="1728"/>
          </w:tcPr>
          <w:p>
            <w:r>
              <w:t>1.308***</w:t>
              <w:br/>
              <w:t>(0.394)</w:t>
            </w:r>
          </w:p>
        </w:tc>
        <w:tc>
          <w:tcPr>
            <w:tcW w:type="dxa" w:w="1728"/>
          </w:tcPr>
          <w:p>
            <w:r>
              <w:t>2.0 (weak)</w:t>
            </w:r>
          </w:p>
        </w:tc>
      </w:tr>
      <w:tr>
        <w:tc>
          <w:tcPr>
            <w:tcW w:type="dxa" w:w="1728"/>
          </w:tcPr>
          <w:p>
            <w:r>
              <w:t>North America</w:t>
            </w:r>
          </w:p>
        </w:tc>
        <w:tc>
          <w:tcPr>
            <w:tcW w:type="dxa" w:w="1728"/>
          </w:tcPr>
          <w:p>
            <w:r>
              <w:t>-34.34</w:t>
              <w:br/>
              <w:t>(51.66)</w:t>
            </w:r>
          </w:p>
        </w:tc>
        <w:tc>
          <w:tcPr>
            <w:tcW w:type="dxa" w:w="1728"/>
          </w:tcPr>
          <w:p>
            <w:r>
              <w:t>-0.028</w:t>
              <w:br/>
              <w:t>(0.688)</w:t>
            </w:r>
          </w:p>
        </w:tc>
        <w:tc>
          <w:tcPr>
            <w:tcW w:type="dxa" w:w="1728"/>
          </w:tcPr>
          <w:p>
            <w:r>
              <w:t>0.600</w:t>
              <w:br/>
              <w:t>(0.913)</w:t>
            </w:r>
          </w:p>
        </w:tc>
        <w:tc>
          <w:tcPr>
            <w:tcW w:type="dxa" w:w="1728"/>
          </w:tcPr>
          <w:p>
            <w:r>
              <w:t>0.5 (weak)</w:t>
            </w:r>
          </w:p>
        </w:tc>
      </w:tr>
      <w:tr>
        <w:tc>
          <w:tcPr>
            <w:tcW w:type="dxa" w:w="1728"/>
          </w:tcPr>
          <w:p>
            <w:r>
              <w:t>Pacific/SW</w:t>
            </w:r>
          </w:p>
        </w:tc>
        <w:tc>
          <w:tcPr>
            <w:tcW w:type="dxa" w:w="1728"/>
          </w:tcPr>
          <w:p>
            <w:r>
              <w:t>-45.31</w:t>
              <w:br/>
              <w:t>(96.06)</w:t>
            </w:r>
          </w:p>
        </w:tc>
        <w:tc>
          <w:tcPr>
            <w:tcW w:type="dxa" w:w="1728"/>
          </w:tcPr>
          <w:p>
            <w:r>
              <w:t>-1.080</w:t>
              <w:br/>
              <w:t>(2.156)</w:t>
            </w:r>
          </w:p>
        </w:tc>
        <w:tc>
          <w:tcPr>
            <w:tcW w:type="dxa" w:w="1728"/>
          </w:tcPr>
          <w:p>
            <w:r>
              <w:t>-0.970</w:t>
              <w:br/>
              <w:t>(1.728)</w:t>
            </w:r>
          </w:p>
        </w:tc>
        <w:tc>
          <w:tcPr>
            <w:tcW w:type="dxa" w:w="1728"/>
          </w:tcPr>
          <w:p>
            <w:r>
              <w:t>0.3 (weak)</w:t>
            </w:r>
          </w:p>
        </w:tc>
      </w:tr>
    </w:tbl>
    <w:p>
      <w:r>
        <w:rPr>
          <w:i/>
          <w:sz w:val="16"/>
        </w:rPr>
        <w:t>Each cell: 2SLS coefficient on log connectivity with robust SE in parentheses. * p&lt;0.10, ** p&lt;0.05, *** p&lt;0.01. Moderators are time-invariant (baseline values), so the within-group estimator retains country and year fixed effects. Groups with first-stage F &lt; 10 are weakly identified and reported for completeness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