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Heterogeneity of the Air Connectivity Effect on Goods Trade (Tourism-Heritage IV)</w:t>
      </w:r>
    </w:p>
    <w:p>
      <w:r>
        <w:rPr>
          <w:i/>
          <w:sz w:val="16"/>
        </w:rPr>
        <w:t>Two-stage least squares. Treatment: log air connectivity (GACI sum), instrumented by tourism_int = (world tourism demand, t) x ln(1 + natural/mixed UNESCO heritage endowment). Country and year fixed effects; robust SE in parentheses; sample 1996-2019. Outcomes are MERCHANDISE (goods) trade, so tourism/services are excluded from the dependent variable.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Subsample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Ln goods</w:t>
              <w:br/>
              <w:t>trade volume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Goods intensity</w:t>
              <w:br/>
              <w:t>ln(goods/GDP)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Goods share</w:t>
              <w:br/>
              <w:t>(% GDP)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First-stage</w:t>
              <w:br/>
              <w:t>KP F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All (pooled)</w:t>
            </w:r>
          </w:p>
        </w:tc>
        <w:tc>
          <w:tcPr>
            <w:tcW w:type="dxa" w:w="1728"/>
          </w:tcPr>
          <w:p>
            <w:r>
              <w:t>1.123***</w:t>
              <w:br/>
              <w:t>(0.238)</w:t>
            </w:r>
          </w:p>
        </w:tc>
        <w:tc>
          <w:tcPr>
            <w:tcW w:type="dxa" w:w="1728"/>
          </w:tcPr>
          <w:p>
            <w:r>
              <w:t>0.496***</w:t>
              <w:br/>
              <w:t>(0.180)</w:t>
            </w:r>
          </w:p>
        </w:tc>
        <w:tc>
          <w:tcPr>
            <w:tcW w:type="dxa" w:w="1728"/>
          </w:tcPr>
          <w:p>
            <w:r>
              <w:t>28.43**</w:t>
              <w:br/>
              <w:t>(13.26)</w:t>
            </w:r>
          </w:p>
        </w:tc>
        <w:tc>
          <w:tcPr>
            <w:tcW w:type="dxa" w:w="1728"/>
          </w:tcPr>
          <w:p>
            <w:r>
              <w:t>35.4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1996 GACI &lt; median</w:t>
            </w:r>
          </w:p>
        </w:tc>
        <w:tc>
          <w:tcPr>
            <w:tcW w:type="dxa" w:w="1728"/>
          </w:tcPr>
          <w:p>
            <w:r>
              <w:t>1.293***</w:t>
              <w:br/>
              <w:t>(0.304)</w:t>
            </w:r>
          </w:p>
        </w:tc>
        <w:tc>
          <w:tcPr>
            <w:tcW w:type="dxa" w:w="1728"/>
          </w:tcPr>
          <w:p>
            <w:r>
              <w:t>0.546***</w:t>
              <w:br/>
              <w:t>(0.201)</w:t>
            </w:r>
          </w:p>
        </w:tc>
        <w:tc>
          <w:tcPr>
            <w:tcW w:type="dxa" w:w="1728"/>
          </w:tcPr>
          <w:p>
            <w:r>
              <w:t>59.17***</w:t>
              <w:br/>
              <w:t>(18.63)</w:t>
            </w:r>
          </w:p>
        </w:tc>
        <w:tc>
          <w:tcPr>
            <w:tcW w:type="dxa" w:w="1728"/>
          </w:tcPr>
          <w:p>
            <w:r>
              <w:t>25.4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1996 GACI &gt; median</w:t>
            </w:r>
          </w:p>
        </w:tc>
        <w:tc>
          <w:tcPr>
            <w:tcW w:type="dxa" w:w="1728"/>
          </w:tcPr>
          <w:p>
            <w:r>
              <w:t>1.392***</w:t>
              <w:br/>
              <w:t>(0.317)</w:t>
            </w:r>
          </w:p>
        </w:tc>
        <w:tc>
          <w:tcPr>
            <w:tcW w:type="dxa" w:w="1728"/>
          </w:tcPr>
          <w:p>
            <w:r>
              <w:t>0.285</w:t>
              <w:br/>
              <w:t>(0.188)</w:t>
            </w:r>
          </w:p>
        </w:tc>
        <w:tc>
          <w:tcPr>
            <w:tcW w:type="dxa" w:w="1728"/>
          </w:tcPr>
          <w:p>
            <w:r>
              <w:t>-3.08</w:t>
              <w:br/>
              <w:t>(9.08)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1996 GDP &lt; median</w:t>
            </w:r>
          </w:p>
        </w:tc>
        <w:tc>
          <w:tcPr>
            <w:tcW w:type="dxa" w:w="1728"/>
          </w:tcPr>
          <w:p>
            <w:r>
              <w:t>3.429**</w:t>
              <w:br/>
              <w:t>(1.640)</w:t>
            </w:r>
          </w:p>
        </w:tc>
        <w:tc>
          <w:tcPr>
            <w:tcW w:type="dxa" w:w="1728"/>
          </w:tcPr>
          <w:p>
            <w:r>
              <w:t>1.664*</w:t>
              <w:br/>
              <w:t>(0.915)</w:t>
            </w:r>
          </w:p>
        </w:tc>
        <w:tc>
          <w:tcPr>
            <w:tcW w:type="dxa" w:w="1728"/>
          </w:tcPr>
          <w:p>
            <w:r>
              <w:t>127.80*</w:t>
              <w:br/>
              <w:t>(69.97)</w:t>
            </w:r>
          </w:p>
        </w:tc>
        <w:tc>
          <w:tcPr>
            <w:tcW w:type="dxa" w:w="1728"/>
          </w:tcPr>
          <w:p>
            <w:r>
              <w:t>4.3 (weak)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1996 GDP &gt; median</w:t>
            </w:r>
          </w:p>
        </w:tc>
        <w:tc>
          <w:tcPr>
            <w:tcW w:type="dxa" w:w="1728"/>
          </w:tcPr>
          <w:p>
            <w:r>
              <w:t>1.231***</w:t>
              <w:br/>
              <w:t>(0.325)</w:t>
            </w:r>
          </w:p>
        </w:tc>
        <w:tc>
          <w:tcPr>
            <w:tcW w:type="dxa" w:w="1728"/>
          </w:tcPr>
          <w:p>
            <w:r>
              <w:t>0.005</w:t>
              <w:br/>
              <w:t>(0.211)</w:t>
            </w:r>
          </w:p>
        </w:tc>
        <w:tc>
          <w:tcPr>
            <w:tcW w:type="dxa" w:w="1728"/>
          </w:tcPr>
          <w:p>
            <w:r>
              <w:t>-61.95**</w:t>
              <w:br/>
              <w:t>(26.45)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Africa</w:t>
            </w:r>
          </w:p>
        </w:tc>
        <w:tc>
          <w:tcPr>
            <w:tcW w:type="dxa" w:w="1728"/>
          </w:tcPr>
          <w:p>
            <w:r>
              <w:t>0.624</w:t>
              <w:br/>
              <w:t>(0.800)</w:t>
            </w:r>
          </w:p>
        </w:tc>
        <w:tc>
          <w:tcPr>
            <w:tcW w:type="dxa" w:w="1728"/>
          </w:tcPr>
          <w:p>
            <w:r>
              <w:t>1.069</w:t>
              <w:br/>
              <w:t>(1.041)</w:t>
            </w:r>
          </w:p>
        </w:tc>
        <w:tc>
          <w:tcPr>
            <w:tcW w:type="dxa" w:w="1728"/>
          </w:tcPr>
          <w:p>
            <w:r>
              <w:t>-0.86</w:t>
              <w:br/>
              <w:t>(29.50)</w:t>
            </w:r>
          </w:p>
        </w:tc>
        <w:tc>
          <w:tcPr>
            <w:tcW w:type="dxa" w:w="1728"/>
          </w:tcPr>
          <w:p>
            <w:r>
              <w:t>2.0 (weak)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Asia</w:t>
            </w:r>
          </w:p>
        </w:tc>
        <w:tc>
          <w:tcPr>
            <w:tcW w:type="dxa" w:w="1728"/>
          </w:tcPr>
          <w:p>
            <w:r>
              <w:t>0.731***</w:t>
              <w:br/>
              <w:t>(0.209)</w:t>
            </w:r>
          </w:p>
        </w:tc>
        <w:tc>
          <w:tcPr>
            <w:tcW w:type="dxa" w:w="1728"/>
          </w:tcPr>
          <w:p>
            <w:r>
              <w:t>-0.410***</w:t>
              <w:br/>
              <w:t>(0.122)</w:t>
            </w:r>
          </w:p>
        </w:tc>
        <w:tc>
          <w:tcPr>
            <w:tcW w:type="dxa" w:w="1728"/>
          </w:tcPr>
          <w:p>
            <w:r>
              <w:t>-75.49***</w:t>
              <w:br/>
              <w:t>(14.92)</w:t>
            </w:r>
          </w:p>
        </w:tc>
        <w:tc>
          <w:tcPr>
            <w:tcW w:type="dxa" w:w="1728"/>
          </w:tcPr>
          <w:p>
            <w:r>
              <w:t>79.4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Europe</w:t>
            </w:r>
          </w:p>
        </w:tc>
        <w:tc>
          <w:tcPr>
            <w:tcW w:type="dxa" w:w="1728"/>
          </w:tcPr>
          <w:p>
            <w:r>
              <w:t>63.231</w:t>
              <w:br/>
              <w:t>(849.562)</w:t>
            </w:r>
          </w:p>
        </w:tc>
        <w:tc>
          <w:tcPr>
            <w:tcW w:type="dxa" w:w="1728"/>
          </w:tcPr>
          <w:p>
            <w:r>
              <w:t>-60.383</w:t>
              <w:br/>
              <w:t>(813.311)</w:t>
            </w:r>
          </w:p>
        </w:tc>
        <w:tc>
          <w:tcPr>
            <w:tcW w:type="dxa" w:w="1728"/>
          </w:tcPr>
          <w:p>
            <w:r>
              <w:t>-3,940.87</w:t>
              <w:br/>
              <w:t>(53,092.85)</w:t>
            </w:r>
          </w:p>
        </w:tc>
        <w:tc>
          <w:tcPr>
            <w:tcW w:type="dxa" w:w="1728"/>
          </w:tcPr>
          <w:p>
            <w:r>
              <w:t>0.0 (weak)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Latin America</w:t>
            </w:r>
          </w:p>
        </w:tc>
        <w:tc>
          <w:tcPr>
            <w:tcW w:type="dxa" w:w="1728"/>
          </w:tcPr>
          <w:p>
            <w:r>
              <w:t>1.976***</w:t>
              <w:br/>
              <w:t>(0.753)</w:t>
            </w:r>
          </w:p>
        </w:tc>
        <w:tc>
          <w:tcPr>
            <w:tcW w:type="dxa" w:w="1728"/>
          </w:tcPr>
          <w:p>
            <w:r>
              <w:t>1.471**</w:t>
              <w:br/>
              <w:t>(0.644)</w:t>
            </w:r>
          </w:p>
        </w:tc>
        <w:tc>
          <w:tcPr>
            <w:tcW w:type="dxa" w:w="1728"/>
          </w:tcPr>
          <w:p>
            <w:r>
              <w:t>116.04**</w:t>
              <w:br/>
              <w:t>(54.78)</w:t>
            </w:r>
          </w:p>
        </w:tc>
        <w:tc>
          <w:tcPr>
            <w:tcW w:type="dxa" w:w="1728"/>
          </w:tcPr>
          <w:p>
            <w:r>
              <w:t>10.3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Middle East</w:t>
            </w:r>
          </w:p>
        </w:tc>
        <w:tc>
          <w:tcPr>
            <w:tcW w:type="dxa" w:w="1728"/>
          </w:tcPr>
          <w:p>
            <w:r>
              <w:t>0.510***</w:t>
              <w:br/>
              <w:t>(0.191)</w:t>
            </w:r>
          </w:p>
        </w:tc>
        <w:tc>
          <w:tcPr>
            <w:tcW w:type="dxa" w:w="1728"/>
          </w:tcPr>
          <w:p>
            <w:r>
              <w:t>-0.614**</w:t>
              <w:br/>
              <w:t>(0.308)</w:t>
            </w:r>
          </w:p>
        </w:tc>
        <w:tc>
          <w:tcPr>
            <w:tcW w:type="dxa" w:w="1728"/>
          </w:tcPr>
          <w:p>
            <w:r>
              <w:t>-26.97**</w:t>
              <w:br/>
              <w:t>(12.96)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North America</w:t>
            </w:r>
          </w:p>
        </w:tc>
        <w:tc>
          <w:tcPr>
            <w:tcW w:type="dxa" w:w="1728"/>
          </w:tcPr>
          <w:p>
            <w:r>
              <w:t>-2.471</w:t>
              <w:br/>
              <w:t>(2.309)</w:t>
            </w:r>
          </w:p>
        </w:tc>
        <w:tc>
          <w:tcPr>
            <w:tcW w:type="dxa" w:w="1728"/>
          </w:tcPr>
          <w:p>
            <w:r>
              <w:t>-3.468</w:t>
              <w:br/>
              <w:t>(3.784)</w:t>
            </w:r>
          </w:p>
        </w:tc>
        <w:tc>
          <w:tcPr>
            <w:tcW w:type="dxa" w:w="1728"/>
          </w:tcPr>
          <w:p>
            <w:r>
              <w:t>-140.66</w:t>
              <w:br/>
              <w:t>(153.11)</w:t>
            </w:r>
          </w:p>
        </w:tc>
        <w:tc>
          <w:tcPr>
            <w:tcW w:type="dxa" w:w="1728"/>
          </w:tcPr>
          <w:p>
            <w:r>
              <w:t>1.0 (weak)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Pacific/SW</w:t>
            </w:r>
          </w:p>
        </w:tc>
        <w:tc>
          <w:tcPr>
            <w:tcW w:type="dxa" w:w="1728"/>
          </w:tcPr>
          <w:p>
            <w:r>
              <w:t>1.052*</w:t>
              <w:br/>
              <w:t>(0.622)</w:t>
            </w:r>
          </w:p>
        </w:tc>
        <w:tc>
          <w:tcPr>
            <w:tcW w:type="dxa" w:w="1728"/>
          </w:tcPr>
          <w:p>
            <w:r>
              <w:t>-0.451</w:t>
              <w:br/>
              <w:t>(0.365)</w:t>
            </w:r>
          </w:p>
        </w:tc>
        <w:tc>
          <w:tcPr>
            <w:tcW w:type="dxa" w:w="1728"/>
          </w:tcPr>
          <w:p>
            <w:r>
              <w:t>-25.12</w:t>
              <w:br/>
              <w:t>(21.36)</w:t>
            </w:r>
          </w:p>
        </w:tc>
        <w:tc>
          <w:tcPr>
            <w:tcW w:type="dxa" w:w="1728"/>
          </w:tcPr>
          <w:p>
            <w:r>
              <w:t>3.3 (weak)</w:t>
            </w:r>
          </w:p>
        </w:tc>
      </w:tr>
    </w:tbl>
    <w:p>
      <w:r>
        <w:rPr>
          <w:i/>
          <w:sz w:val="16"/>
        </w:rPr>
        <w:t>* p&lt;0.10, ** p&lt;0.05, *** p&lt;0.01. First-stage Kleibergen-Paap F is the weak-identification statistic; cells with F &lt; 10 are weakly identified and shown for completeness only. Note: countries with zero natural heritage have a degenerate (zero) instrument, so high-heritage / low-variation subsamples may be weakly identified. Ln goods trade volume is the raw trade value (no GDP control); the two openness measures are net of GDP.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