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3D6" w:rsidRPr="008C7CB2" w:rsidRDefault="008C7CB2">
      <w:pPr>
        <w:pStyle w:val="Heading1"/>
        <w:rPr>
          <w:rFonts w:ascii="Times New Roman" w:hAnsi="Times New Roman" w:cs="Times New Roman"/>
          <w:color w:val="auto"/>
        </w:rPr>
      </w:pPr>
      <w:bookmarkStart w:id="0" w:name="X5bcbb3b53de2687a9b77ce482233eeebcc03ee8"/>
      <w:r w:rsidRPr="008C7CB2">
        <w:rPr>
          <w:rFonts w:ascii="Times New Roman" w:hAnsi="Times New Roman" w:cs="Times New Roman"/>
          <w:color w:val="auto"/>
        </w:rPr>
        <w:t>Spatia</w:t>
      </w:r>
      <w:bookmarkStart w:id="1" w:name="_GoBack"/>
      <w:bookmarkEnd w:id="1"/>
      <w:r w:rsidRPr="008C7CB2">
        <w:rPr>
          <w:rFonts w:ascii="Times New Roman" w:hAnsi="Times New Roman" w:cs="Times New Roman"/>
          <w:color w:val="auto"/>
        </w:rPr>
        <w:t>l Heterogeneity of Shocks in Global Air Connectivity and Resilience</w:t>
      </w:r>
    </w:p>
    <w:p w:rsidR="00E163D6" w:rsidRPr="008C7CB2" w:rsidRDefault="008C7CB2">
      <w:p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E163D6" w:rsidRPr="008C7CB2" w:rsidRDefault="008C7CB2">
      <w:pPr>
        <w:pStyle w:val="Heading2"/>
        <w:rPr>
          <w:rFonts w:ascii="Times New Roman" w:hAnsi="Times New Roman" w:cs="Times New Roman"/>
          <w:color w:val="auto"/>
        </w:rPr>
      </w:pPr>
      <w:bookmarkStart w:id="2" w:name="motivation"/>
      <w:r w:rsidRPr="008C7CB2">
        <w:rPr>
          <w:rFonts w:ascii="Times New Roman" w:hAnsi="Times New Roman" w:cs="Times New Roman"/>
          <w:color w:val="auto"/>
        </w:rPr>
        <w:t>Motivation</w:t>
      </w:r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>When a global shock disrupts air transport, the economic cost is not evenly distributed across countries — some economies translate aviation disruption into large GDP losses while others absorb the same GACI shock with little damage. The paper documents th</w:t>
      </w:r>
      <w:r w:rsidRPr="008C7CB2">
        <w:rPr>
          <w:rFonts w:ascii="Times New Roman" w:hAnsi="Times New Roman" w:cs="Times New Roman"/>
        </w:rPr>
        <w:t>is spatial heterogeneity, shock by shock, and asks where in the world a unit of aviation disruption hurts the most. The question generalises the connectivity–resilience inversion identified in our previous work</w:t>
      </w:r>
      <w:r w:rsidRPr="008C7CB2">
        <w:rPr>
          <w:rFonts w:ascii="Times New Roman" w:hAnsi="Times New Roman" w:cs="Times New Roman"/>
        </w:rPr>
        <w:t xml:space="preserve"> from one city</w:t>
      </w:r>
      <w:r w:rsidRPr="008C7CB2">
        <w:rPr>
          <w:rFonts w:ascii="Times New Roman" w:hAnsi="Times New Roman" w:cs="Times New Roman"/>
        </w:rPr>
        <w:t xml:space="preserve"> to the global aviation system, and asks whether the inversion appears in GDP space as well.</w:t>
      </w:r>
    </w:p>
    <w:p w:rsidR="00E163D6" w:rsidRPr="008C7CB2" w:rsidRDefault="008C7CB2">
      <w:pPr>
        <w:pStyle w:val="BodyText"/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  <w:b/>
          <w:bCs/>
        </w:rPr>
        <w:t>The main question.</w:t>
      </w:r>
      <w:r w:rsidRPr="008C7CB2">
        <w:rPr>
          <w:rFonts w:ascii="Times New Roman" w:hAnsi="Times New Roman" w:cs="Times New Roman"/>
        </w:rPr>
        <w:t xml:space="preserve"> </w:t>
      </w:r>
      <w:r w:rsidRPr="008C7CB2">
        <w:rPr>
          <w:rFonts w:ascii="Times New Roman" w:hAnsi="Times New Roman" w:cs="Times New Roman"/>
          <w:i/>
          <w:iCs/>
        </w:rPr>
        <w:t>Does the GACI → GDP conversion rate vary across countries after a shock?</w:t>
      </w:r>
      <w:r w:rsidRPr="008C7CB2">
        <w:rPr>
          <w:rFonts w:ascii="Times New Roman" w:hAnsi="Times New Roman" w:cs="Times New Roman"/>
        </w:rPr>
        <w:t xml:space="preserve"> Which countries pay the highest economic cost for a unit of aviation di</w:t>
      </w:r>
      <w:r w:rsidRPr="008C7CB2">
        <w:rPr>
          <w:rFonts w:ascii="Times New Roman" w:hAnsi="Times New Roman" w:cs="Times New Roman"/>
        </w:rPr>
        <w:t>sruption? Spatial Heterogeneity?</w:t>
      </w:r>
    </w:p>
    <w:p w:rsidR="00E163D6" w:rsidRPr="008C7CB2" w:rsidRDefault="008C7CB2">
      <w:p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E163D6" w:rsidRPr="008C7CB2" w:rsidRDefault="008C7CB2">
      <w:pPr>
        <w:pStyle w:val="Heading2"/>
        <w:rPr>
          <w:rFonts w:ascii="Times New Roman" w:hAnsi="Times New Roman" w:cs="Times New Roman"/>
          <w:color w:val="auto"/>
        </w:rPr>
      </w:pPr>
      <w:bookmarkStart w:id="3" w:name="main-analysis"/>
      <w:bookmarkEnd w:id="2"/>
      <w:r w:rsidRPr="008C7CB2">
        <w:rPr>
          <w:rFonts w:ascii="Times New Roman" w:hAnsi="Times New Roman" w:cs="Times New Roman"/>
          <w:color w:val="auto"/>
        </w:rPr>
        <w:t>Main Analysis</w:t>
      </w:r>
    </w:p>
    <w:p w:rsidR="00E163D6" w:rsidRPr="008C7CB2" w:rsidRDefault="008C7CB2">
      <w:pPr>
        <w:pStyle w:val="Heading3"/>
        <w:rPr>
          <w:rFonts w:ascii="Times New Roman" w:hAnsi="Times New Roman" w:cs="Times New Roman"/>
          <w:color w:val="auto"/>
        </w:rPr>
      </w:pPr>
      <w:bookmarkStart w:id="4" w:name="specification-1-pooled"/>
      <w:r w:rsidRPr="008C7CB2">
        <w:rPr>
          <w:rFonts w:ascii="Times New Roman" w:hAnsi="Times New Roman" w:cs="Times New Roman"/>
          <w:color w:val="auto"/>
        </w:rPr>
        <w:t>Specification (1) — Pooled</w:t>
      </w:r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GDP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</m:oMath>
      </m:oMathPara>
    </w:p>
    <w:p w:rsidR="00E163D6" w:rsidRPr="008C7CB2" w:rsidRDefault="008C7CB2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  <w:i/>
          <w:iCs/>
        </w:rPr>
        <w:t>i</w:t>
      </w:r>
      <w:r w:rsidRPr="008C7CB2">
        <w:rPr>
          <w:rFonts w:ascii="Times New Roman" w:hAnsi="Times New Roman" w:cs="Times New Roman"/>
        </w:rPr>
        <w:t xml:space="preserve"> = city / airport, </w:t>
      </w:r>
      <w:r w:rsidRPr="008C7CB2">
        <w:rPr>
          <w:rFonts w:ascii="Times New Roman" w:hAnsi="Times New Roman" w:cs="Times New Roman"/>
          <w:i/>
          <w:iCs/>
        </w:rPr>
        <w:t>e</w:t>
      </w:r>
      <w:r w:rsidRPr="008C7CB2">
        <w:rPr>
          <w:rFonts w:ascii="Times New Roman" w:hAnsi="Times New Roman" w:cs="Times New Roman"/>
        </w:rPr>
        <w:t xml:space="preserve"> = shock event</w:t>
      </w:r>
    </w:p>
    <w:p w:rsidR="00E163D6" w:rsidRPr="008C7CB2" w:rsidRDefault="008C7CB2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>α = conversion rate between GACI and GDP during shock events</w:t>
      </w:r>
    </w:p>
    <w:p w:rsidR="00E163D6" w:rsidRPr="008C7CB2" w:rsidRDefault="008C7CB2">
      <w:pPr>
        <w:pStyle w:val="Heading3"/>
        <w:rPr>
          <w:rFonts w:ascii="Times New Roman" w:hAnsi="Times New Roman" w:cs="Times New Roman"/>
          <w:color w:val="auto"/>
        </w:rPr>
      </w:pPr>
      <w:bookmarkStart w:id="5" w:name="specification-2-country-heterogeneous"/>
      <w:bookmarkEnd w:id="4"/>
      <w:r w:rsidRPr="008C7CB2">
        <w:rPr>
          <w:rFonts w:ascii="Times New Roman" w:hAnsi="Times New Roman" w:cs="Times New Roman"/>
          <w:color w:val="auto"/>
        </w:rPr>
        <w:t>Specification (2) — Country-heterogeneous</w:t>
      </w:r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GDP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C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countr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>]⋅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</m:oMath>
      </m:oMathPara>
    </w:p>
    <w:p w:rsidR="00E163D6" w:rsidRPr="008C7CB2" w:rsidRDefault="008C7CB2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>α_C = country-specific conversion rate</w:t>
      </w:r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 xml:space="preserve">Plotting α_C as a world choropleth — one panel per shock — is the </w:t>
      </w:r>
      <w:r w:rsidRPr="008C7CB2">
        <w:rPr>
          <w:rFonts w:ascii="Times New Roman" w:hAnsi="Times New Roman" w:cs="Times New Roman"/>
          <w:b/>
          <w:bCs/>
        </w:rPr>
        <w:t>main figure</w:t>
      </w:r>
      <w:r w:rsidRPr="008C7CB2">
        <w:rPr>
          <w:rFonts w:ascii="Times New Roman" w:hAnsi="Times New Roman" w:cs="Times New Roman"/>
        </w:rPr>
        <w:t>: it visualises which countries pay the highest economic cost for a unit of aviation disruption after each shock.</w:t>
      </w:r>
    </w:p>
    <w:p w:rsidR="00E163D6" w:rsidRPr="008C7CB2" w:rsidRDefault="008C7CB2">
      <w:pPr>
        <w:pStyle w:val="Heading3"/>
        <w:rPr>
          <w:rFonts w:ascii="Times New Roman" w:hAnsi="Times New Roman" w:cs="Times New Roman"/>
          <w:color w:val="auto"/>
        </w:rPr>
      </w:pPr>
      <w:bookmarkStart w:id="6" w:name="implied-gdp-loss"/>
      <w:bookmarkEnd w:id="5"/>
      <w:r w:rsidRPr="008C7CB2">
        <w:rPr>
          <w:rFonts w:ascii="Times New Roman" w:hAnsi="Times New Roman" w:cs="Times New Roman"/>
          <w:color w:val="auto"/>
        </w:rPr>
        <w:t>Implied GDP loss</w:t>
      </w:r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 xml:space="preserve">For each airport-city pair </w:t>
      </w:r>
      <w:r w:rsidRPr="008C7CB2">
        <w:rPr>
          <w:rFonts w:ascii="Times New Roman" w:hAnsi="Times New Roman" w:cs="Times New Roman"/>
          <w:i/>
          <w:iCs/>
        </w:rPr>
        <w:t>i</w:t>
      </w:r>
      <w:r w:rsidRPr="008C7CB2">
        <w:rPr>
          <w:rFonts w:ascii="Times New Roman" w:hAnsi="Times New Roman" w:cs="Times New Roman"/>
        </w:rPr>
        <w:t xml:space="preserve"> in each shock </w:t>
      </w:r>
      <w:r w:rsidRPr="008C7CB2">
        <w:rPr>
          <w:rFonts w:ascii="Times New Roman" w:hAnsi="Times New Roman" w:cs="Times New Roman"/>
          <w:i/>
          <w:iCs/>
        </w:rPr>
        <w:t>e</w:t>
      </w:r>
      <w:r w:rsidRPr="008C7CB2">
        <w:rPr>
          <w:rFonts w:ascii="Times New Roman" w:hAnsi="Times New Roman" w:cs="Times New Roman"/>
        </w:rPr>
        <w:t>:</w:t>
      </w:r>
    </w:p>
    <w:p w:rsidR="00E163D6" w:rsidRPr="008C7CB2" w:rsidRDefault="008C7CB2">
      <w:pPr>
        <w:pStyle w:val="BodyTex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GDP loss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</m:oMath>
      </m:oMathPara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lastRenderedPageBreak/>
        <w:t xml:space="preserve">Reported per event so that the actual GDP </w:t>
      </w:r>
      <w:r w:rsidRPr="008C7CB2">
        <w:rPr>
          <w:rFonts w:ascii="Times New Roman" w:hAnsi="Times New Roman" w:cs="Times New Roman"/>
        </w:rPr>
        <w:t>loss attributable to GACI disruption can be read off event by event.</w:t>
      </w:r>
    </w:p>
    <w:p w:rsidR="00E163D6" w:rsidRPr="008C7CB2" w:rsidRDefault="008C7CB2">
      <w:pPr>
        <w:rPr>
          <w:rFonts w:ascii="Times New Roman" w:hAnsi="Times New Roman" w:cs="Times New Roman"/>
        </w:rPr>
      </w:pPr>
      <w:bookmarkStart w:id="7" w:name="Xfff1bf59e463e12eee77fc477397ba01cd51881"/>
      <w:bookmarkEnd w:id="6"/>
      <w:r w:rsidRPr="008C7CB2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E163D6" w:rsidRPr="008C7CB2" w:rsidRDefault="008C7CB2">
      <w:pPr>
        <w:pStyle w:val="Heading2"/>
        <w:rPr>
          <w:rFonts w:ascii="Times New Roman" w:hAnsi="Times New Roman" w:cs="Times New Roman"/>
          <w:color w:val="auto"/>
        </w:rPr>
      </w:pPr>
      <w:bookmarkStart w:id="8" w:name="X3d0bc0cab826a85841b57c3da1601c7a949de38"/>
      <w:bookmarkEnd w:id="3"/>
      <w:bookmarkEnd w:id="7"/>
      <w:r w:rsidRPr="008C7CB2">
        <w:rPr>
          <w:rFonts w:ascii="Times New Roman" w:hAnsi="Times New Roman" w:cs="Times New Roman"/>
          <w:color w:val="auto"/>
        </w:rPr>
        <w:t>Additional Analysis: Resilience as Mediator</w:t>
      </w:r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>We define airport resilience following the resilience-triangle lineage (Bruneau et al., 2003; Cimellaro et al., 2010; Janić, 2022) applied to GACI dynamics around each shock. The resilience measure is computed from the GACI series and captures the depth, s</w:t>
      </w:r>
      <w:r w:rsidRPr="008C7CB2">
        <w:rPr>
          <w:rFonts w:ascii="Times New Roman" w:hAnsi="Times New Roman" w:cs="Times New Roman"/>
        </w:rPr>
        <w:t>peed, and persistence of the post-shock dip.</w:t>
      </w:r>
    </w:p>
    <w:p w:rsidR="00E163D6" w:rsidRPr="008C7CB2" w:rsidRDefault="008C7CB2">
      <w:pPr>
        <w:pStyle w:val="Heading3"/>
        <w:rPr>
          <w:rFonts w:ascii="Times New Roman" w:hAnsi="Times New Roman" w:cs="Times New Roman"/>
          <w:color w:val="auto"/>
        </w:rPr>
      </w:pPr>
      <w:bookmarkStart w:id="9" w:name="specification-3"/>
      <w:r w:rsidRPr="008C7CB2">
        <w:rPr>
          <w:rFonts w:ascii="Times New Roman" w:hAnsi="Times New Roman" w:cs="Times New Roman"/>
          <w:color w:val="auto"/>
        </w:rPr>
        <w:t>Specification (3)</w:t>
      </w:r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Resilience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GACI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ε</m:t>
          </m:r>
        </m:oMath>
      </m:oMathPara>
    </w:p>
    <w:p w:rsidR="00E163D6" w:rsidRPr="008C7CB2" w:rsidRDefault="008C7CB2">
      <w:pPr>
        <w:pStyle w:val="Heading3"/>
        <w:rPr>
          <w:rFonts w:ascii="Times New Roman" w:hAnsi="Times New Roman" w:cs="Times New Roman"/>
          <w:color w:val="auto"/>
        </w:rPr>
      </w:pPr>
      <w:bookmarkStart w:id="10" w:name="specification-4"/>
      <w:bookmarkEnd w:id="9"/>
      <w:r w:rsidRPr="008C7CB2">
        <w:rPr>
          <w:rFonts w:ascii="Times New Roman" w:hAnsi="Times New Roman" w:cs="Times New Roman"/>
          <w:color w:val="auto"/>
        </w:rPr>
        <w:t>Specification (4)</w:t>
      </w:r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GDP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Resilience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ε</m:t>
          </m:r>
        </m:oMath>
      </m:oMathPara>
    </w:p>
    <w:p w:rsidR="00E163D6" w:rsidRPr="008C7CB2" w:rsidRDefault="008C7CB2">
      <w:pPr>
        <w:pStyle w:val="Heading3"/>
        <w:rPr>
          <w:rFonts w:ascii="Times New Roman" w:hAnsi="Times New Roman" w:cs="Times New Roman"/>
          <w:color w:val="auto"/>
        </w:rPr>
      </w:pPr>
      <w:bookmarkStart w:id="11" w:name="specification-5"/>
      <w:bookmarkEnd w:id="10"/>
      <w:r w:rsidRPr="008C7CB2">
        <w:rPr>
          <w:rFonts w:ascii="Times New Roman" w:hAnsi="Times New Roman" w:cs="Times New Roman"/>
          <w:color w:val="auto"/>
        </w:rPr>
        <w:t>Specification (5)</w:t>
      </w:r>
    </w:p>
    <w:p w:rsidR="00E163D6" w:rsidRPr="008C7CB2" w:rsidRDefault="008C7CB2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GDP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C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m:rPr>
              <m:sty m:val="b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country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>]⋅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Resilience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event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ε</m:t>
          </m:r>
        </m:oMath>
      </m:oMathPara>
    </w:p>
    <w:p w:rsidR="00E163D6" w:rsidRPr="008C7CB2" w:rsidRDefault="008C7CB2">
      <w:p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E163D6" w:rsidRPr="008C7CB2" w:rsidRDefault="008C7CB2">
      <w:pPr>
        <w:pStyle w:val="Heading2"/>
        <w:rPr>
          <w:rFonts w:ascii="Times New Roman" w:hAnsi="Times New Roman" w:cs="Times New Roman"/>
          <w:color w:val="auto"/>
        </w:rPr>
      </w:pPr>
      <w:bookmarkStart w:id="12" w:name="clean-shock-list"/>
      <w:bookmarkEnd w:id="8"/>
      <w:bookmarkEnd w:id="11"/>
      <w:r w:rsidRPr="008C7CB2">
        <w:rPr>
          <w:rFonts w:ascii="Times New Roman" w:hAnsi="Times New Roman" w:cs="Times New Roman"/>
          <w:color w:val="auto"/>
        </w:rPr>
        <w:t>Clean Shock 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3"/>
        <w:gridCol w:w="1056"/>
        <w:gridCol w:w="1390"/>
        <w:gridCol w:w="2349"/>
      </w:tblGrid>
      <w:tr w:rsidR="008C7CB2" w:rsidRPr="008C7CB2" w:rsidTr="00E16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Shock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Pre-window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Type</w:t>
            </w:r>
          </w:p>
        </w:tc>
      </w:tr>
      <w:tr w:rsidR="008C7CB2" w:rsidRPr="008C7CB2"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9/11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2001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1998–2000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Geopolitical / security</w:t>
            </w:r>
          </w:p>
        </w:tc>
      </w:tr>
      <w:tr w:rsidR="008C7CB2" w:rsidRPr="008C7CB2"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SARS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2000–2002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Health</w:t>
            </w:r>
          </w:p>
        </w:tc>
      </w:tr>
      <w:tr w:rsidR="008C7CB2" w:rsidRPr="008C7CB2"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Global Financial Crisis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2008–09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2005–2007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Financial</w:t>
            </w:r>
          </w:p>
        </w:tc>
      </w:tr>
      <w:tr w:rsidR="008C7CB2" w:rsidRPr="008C7CB2"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Ebola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2011–2013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Health / regional</w:t>
            </w:r>
          </w:p>
        </w:tc>
      </w:tr>
      <w:tr w:rsidR="008C7CB2" w:rsidRPr="008C7CB2"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COVID-19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2017–2019</w:t>
            </w:r>
          </w:p>
        </w:tc>
        <w:tc>
          <w:tcPr>
            <w:tcW w:w="0" w:type="auto"/>
          </w:tcPr>
          <w:p w:rsidR="00E163D6" w:rsidRPr="008C7CB2" w:rsidRDefault="008C7CB2">
            <w:pPr>
              <w:pStyle w:val="Compact"/>
              <w:rPr>
                <w:rFonts w:ascii="Times New Roman" w:hAnsi="Times New Roman" w:cs="Times New Roman"/>
              </w:rPr>
            </w:pPr>
            <w:r w:rsidRPr="008C7CB2">
              <w:rPr>
                <w:rFonts w:ascii="Times New Roman" w:hAnsi="Times New Roman" w:cs="Times New Roman"/>
              </w:rPr>
              <w:t>Health</w:t>
            </w:r>
          </w:p>
        </w:tc>
      </w:tr>
    </w:tbl>
    <w:p w:rsidR="00E163D6" w:rsidRPr="008C7CB2" w:rsidRDefault="008C7CB2">
      <w:pPr>
        <w:pStyle w:val="BodyText"/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>Pre-shock baselines are the three-year mean over the pre-window.</w:t>
      </w:r>
    </w:p>
    <w:p w:rsidR="00E163D6" w:rsidRPr="008C7CB2" w:rsidRDefault="008C7CB2">
      <w:p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E163D6" w:rsidRPr="008C7CB2" w:rsidRDefault="008C7CB2">
      <w:pPr>
        <w:pStyle w:val="Heading2"/>
        <w:rPr>
          <w:rFonts w:ascii="Times New Roman" w:hAnsi="Times New Roman" w:cs="Times New Roman"/>
          <w:color w:val="auto"/>
        </w:rPr>
      </w:pPr>
      <w:bookmarkStart w:id="13" w:name="key-references"/>
      <w:bookmarkEnd w:id="12"/>
      <w:r w:rsidRPr="008C7CB2">
        <w:rPr>
          <w:rFonts w:ascii="Times New Roman" w:hAnsi="Times New Roman" w:cs="Times New Roman"/>
          <w:color w:val="auto"/>
        </w:rPr>
        <w:t>Key References</w:t>
      </w:r>
    </w:p>
    <w:p w:rsidR="00E163D6" w:rsidRPr="008C7CB2" w:rsidRDefault="008C7CB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 xml:space="preserve">Bruneau, M. et al. (2003). A framework to quantitatively assess and enhance the seismic resilience of communities. </w:t>
      </w:r>
      <w:r w:rsidRPr="008C7CB2">
        <w:rPr>
          <w:rFonts w:ascii="Times New Roman" w:hAnsi="Times New Roman" w:cs="Times New Roman"/>
          <w:i/>
          <w:iCs/>
        </w:rPr>
        <w:t>Earthquake Spectra</w:t>
      </w:r>
      <w:r w:rsidRPr="008C7CB2">
        <w:rPr>
          <w:rFonts w:ascii="Times New Roman" w:hAnsi="Times New Roman" w:cs="Times New Roman"/>
        </w:rPr>
        <w:t>, 19(4), 733–752.</w:t>
      </w:r>
    </w:p>
    <w:p w:rsidR="00E163D6" w:rsidRPr="008C7CB2" w:rsidRDefault="008C7CB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 xml:space="preserve">Cheung, T.K.Y., Wong, C.W.H., Zhang, A. (2020). The evolution of aviation network: Global airport connectivity index 2006–2016. </w:t>
      </w:r>
      <w:r w:rsidRPr="008C7CB2">
        <w:rPr>
          <w:rFonts w:ascii="Times New Roman" w:hAnsi="Times New Roman" w:cs="Times New Roman"/>
          <w:i/>
          <w:iCs/>
        </w:rPr>
        <w:t>Transportation Research Part E</w:t>
      </w:r>
      <w:r w:rsidRPr="008C7CB2">
        <w:rPr>
          <w:rFonts w:ascii="Times New Roman" w:hAnsi="Times New Roman" w:cs="Times New Roman"/>
        </w:rPr>
        <w:t>, 133, 101826.</w:t>
      </w:r>
    </w:p>
    <w:p w:rsidR="00E163D6" w:rsidRPr="008C7CB2" w:rsidRDefault="008C7CB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lastRenderedPageBreak/>
        <w:t>Cimellaro, G.P., Reinhorn, A.M., Bruneau, M. (2010). Framework for analytical quant</w:t>
      </w:r>
      <w:r w:rsidRPr="008C7CB2">
        <w:rPr>
          <w:rFonts w:ascii="Times New Roman" w:hAnsi="Times New Roman" w:cs="Times New Roman"/>
        </w:rPr>
        <w:t xml:space="preserve">ification of disaster resilience. </w:t>
      </w:r>
      <w:r w:rsidRPr="008C7CB2">
        <w:rPr>
          <w:rFonts w:ascii="Times New Roman" w:hAnsi="Times New Roman" w:cs="Times New Roman"/>
          <w:i/>
          <w:iCs/>
        </w:rPr>
        <w:t>Engineering Structures</w:t>
      </w:r>
      <w:r w:rsidRPr="008C7CB2">
        <w:rPr>
          <w:rFonts w:ascii="Times New Roman" w:hAnsi="Times New Roman" w:cs="Times New Roman"/>
        </w:rPr>
        <w:t>, 32(11), 3639–3649.</w:t>
      </w:r>
    </w:p>
    <w:p w:rsidR="00E163D6" w:rsidRPr="008C7CB2" w:rsidRDefault="008C7CB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 xml:space="preserve">Janić, M. (2022). Analysis and modelling of airport resilience, robustness, and vulnerability: impact of COVID-19 pandemic disease. </w:t>
      </w:r>
      <w:r w:rsidRPr="008C7CB2">
        <w:rPr>
          <w:rFonts w:ascii="Times New Roman" w:hAnsi="Times New Roman" w:cs="Times New Roman"/>
          <w:i/>
          <w:iCs/>
        </w:rPr>
        <w:t>The Aeronautical Journal</w:t>
      </w:r>
      <w:r w:rsidRPr="008C7CB2">
        <w:rPr>
          <w:rFonts w:ascii="Times New Roman" w:hAnsi="Times New Roman" w:cs="Times New Roman"/>
        </w:rPr>
        <w:t>, 126(1304), 1924–1953.</w:t>
      </w:r>
    </w:p>
    <w:p w:rsidR="00E163D6" w:rsidRPr="008C7CB2" w:rsidRDefault="008C7CB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8C7CB2">
        <w:rPr>
          <w:rFonts w:ascii="Times New Roman" w:hAnsi="Times New Roman" w:cs="Times New Roman"/>
        </w:rPr>
        <w:t xml:space="preserve">Wandelt, S., Zhang, A., Sun, X. (2024). Global Airport Resilience Index: Towards a comprehensive understanding of air transportation resilience. </w:t>
      </w:r>
      <w:r w:rsidRPr="008C7CB2">
        <w:rPr>
          <w:rFonts w:ascii="Times New Roman" w:hAnsi="Times New Roman" w:cs="Times New Roman"/>
          <w:i/>
          <w:iCs/>
        </w:rPr>
        <w:t>Transportation Research Part D</w:t>
      </w:r>
      <w:r w:rsidRPr="008C7CB2">
        <w:rPr>
          <w:rFonts w:ascii="Times New Roman" w:hAnsi="Times New Roman" w:cs="Times New Roman"/>
        </w:rPr>
        <w:t>, 138, 104796.</w:t>
      </w:r>
      <w:bookmarkEnd w:id="0"/>
      <w:bookmarkEnd w:id="13"/>
    </w:p>
    <w:sectPr w:rsidR="00E163D6" w:rsidRPr="008C7CB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C638FD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5ABC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D6"/>
    <w:rsid w:val="008C7CB2"/>
    <w:rsid w:val="00E1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E784"/>
  <w15:docId w15:val="{9AA9BB3B-B092-4C0A-B999-1F211AF1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SUNBIN</dc:creator>
  <cp:keywords/>
  <cp:lastModifiedBy>YOO SUNBIN</cp:lastModifiedBy>
  <cp:revision>2</cp:revision>
  <dcterms:created xsi:type="dcterms:W3CDTF">2026-05-15T07:42:00Z</dcterms:created>
  <dcterms:modified xsi:type="dcterms:W3CDTF">2026-05-15T07:42:00Z</dcterms:modified>
</cp:coreProperties>
</file>