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408a3acee439b58c808a7a2ca94f7415b88bc52"/>
    <w:p>
      <w:pPr>
        <w:pStyle w:val="Heading1"/>
      </w:pPr>
      <w:r>
        <w:t xml:space="preserve">Connectivity–Resilience Inequality in the Global Aviation Network</w:t>
      </w:r>
    </w:p>
    <w:bookmarkStart w:id="20" w:name="Xc87ca3337272507b5f855a013e12939d9692b29"/>
    <w:p>
      <w:pPr>
        <w:pStyle w:val="Heading2"/>
      </w:pPr>
      <w:r>
        <w:t xml:space="preserve">A Multi-Shock, Multi-Component, Co-Evolutionary Panel Analysis (1996–2024)</w:t>
      </w:r>
    </w:p>
    <w:p>
      <w:pPr>
        <w:pStyle w:val="FirstParagraph"/>
      </w:pPr>
      <w:r>
        <w:rPr>
          <w:b/>
          <w:bCs/>
        </w:rPr>
        <w:t xml:space="preserve">Draft date:</w:t>
      </w:r>
      <w:r>
        <w:t xml:space="preserve"> </w:t>
      </w:r>
      <w:r>
        <w:t xml:space="preserve">2026-05-15</w:t>
      </w:r>
      <w:r>
        <w:t xml:space="preserve"> </w:t>
      </w:r>
      <w:r>
        <w:rPr>
          <w:b/>
          <w:bCs/>
        </w:rPr>
        <w:t xml:space="preserve">Lead:</w:t>
      </w:r>
      <w:r>
        <w:t xml:space="preserve"> </w:t>
      </w:r>
      <w:r>
        <w:t xml:space="preserve">Sunbin Yoo (Managi Lab)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GACI 1996–2024 panel (5,428 airports × 29 years × 7 metrics)</w:t>
      </w:r>
    </w:p>
    <w:p>
      <w:r>
        <w:pict>
          <v:rect style="width:0;height:1.5pt" o:hralign="center" o:hrstd="t" o:hr="t"/>
        </w:pict>
      </w:r>
    </w:p>
    <w:bookmarkEnd w:id="20"/>
    <w:bookmarkStart w:id="21" w:name="motivation"/>
    <w:p>
      <w:pPr>
        <w:pStyle w:val="Heading2"/>
      </w:pPr>
      <w:r>
        <w:t xml:space="preserve">1. Motivation</w:t>
      </w:r>
    </w:p>
    <w:p>
      <w:pPr>
        <w:pStyle w:val="FirstParagraph"/>
      </w:pPr>
      <w:r>
        <w:t xml:space="preserve">One of the most consequential recent findings in urban infrastructure-equity research is that</w:t>
      </w:r>
      <w:r>
        <w:t xml:space="preserve"> </w:t>
      </w:r>
      <w:r>
        <w:rPr>
          <w:b/>
          <w:bCs/>
        </w:rPr>
        <w:t xml:space="preserve">connectivity and resilience are inversely distributed</w:t>
      </w:r>
      <w:r>
        <w:t xml:space="preserve">. Our previous work (under review at</w:t>
      </w:r>
      <w:r>
        <w:t xml:space="preserve"> </w:t>
      </w:r>
      <w:r>
        <w:rPr>
          <w:i/>
          <w:iCs/>
        </w:rPr>
        <w:t xml:space="preserve">Nature Cities</w:t>
      </w:r>
      <w:r>
        <w:t xml:space="preserve">) shows that, across the Tokyo Metropolitan area, railway accessibility (number of facilities reachable in a given travel time) and post-earthquake resilience (the share of accessibility retained under a disruption scenario) move in</w:t>
      </w:r>
      <w:r>
        <w:t xml:space="preserve"> </w:t>
      </w:r>
      <w:r>
        <w:rPr>
          <w:i/>
          <w:iCs/>
        </w:rPr>
        <w:t xml:space="preserve">opposite directions</w:t>
      </w:r>
      <w:r>
        <w:t xml:space="preserve"> </w:t>
      </w:r>
      <w:r>
        <w:t xml:space="preserve">across socio-spatial groups: high-income, highly-educated, younger urban-core neighborhoods enjoy the highest accessibility but the lowest resilience, while older, suburban, and peri-urban communities show the reverse. The inversion implies a stark trade-off — pursuing efficiency and equity together comes at the cost of resilience.</w:t>
      </w:r>
    </w:p>
    <w:p>
      <w:pPr>
        <w:pStyle w:val="BodyText"/>
      </w:pPr>
      <w:r>
        <w:t xml:space="preserve">This proposal asks whether the same inversion holds in a</w:t>
      </w:r>
      <w:r>
        <w:t xml:space="preserve"> </w:t>
      </w:r>
      <w:r>
        <w:rPr>
          <w:b/>
          <w:bCs/>
        </w:rPr>
        <w:t xml:space="preserve">global system observed under multiple real shocks</w:t>
      </w:r>
      <w:r>
        <w:t xml:space="preserve">, rather than a single city under a single simulated shock. The test bed is an in-lab extension of the</w:t>
      </w:r>
      <w:r>
        <w:t xml:space="preserve"> </w:t>
      </w:r>
      <w:r>
        <w:rPr>
          <w:b/>
          <w:bCs/>
        </w:rPr>
        <w:t xml:space="preserve">Global Airport Connectivity Index (GACI)</w:t>
      </w:r>
      <w:r>
        <w:t xml:space="preserve"> </w:t>
      </w:r>
      <w:r>
        <w:t xml:space="preserve">of Cheung, Wong &amp; Zhang (2020,</w:t>
      </w:r>
      <w:r>
        <w:t xml:space="preserve"> </w:t>
      </w:r>
      <w:r>
        <w:rPr>
          <w:i/>
          <w:iCs/>
        </w:rPr>
        <w:t xml:space="preserve">TR-E</w:t>
      </w:r>
      <w:r>
        <w:t xml:space="preserve">) to a 1996–2024 panel of 5,428 airports (101,049 airport-year observations). Moving from cities to airports gives us simultaneously a</w:t>
      </w:r>
      <w:r>
        <w:t xml:space="preserve"> </w:t>
      </w:r>
      <w:r>
        <w:rPr>
          <w:b/>
          <w:bCs/>
        </w:rPr>
        <w:t xml:space="preserve">29-year time series, ~10 observed shocks, and 5 distinct centrality components</w:t>
      </w:r>
      <w:r>
        <w:t xml:space="preserve">.</w:t>
      </w:r>
    </w:p>
    <w:p>
      <w:pPr>
        <w:pStyle w:val="BodyText"/>
      </w:pPr>
      <w:r>
        <w:t xml:space="preserve">The closest precedents are Wandelt, Zhang &amp; Sun (2024,</w:t>
      </w:r>
      <w:r>
        <w:t xml:space="preserve"> </w:t>
      </w:r>
      <w:r>
        <w:rPr>
          <w:i/>
          <w:iCs/>
        </w:rPr>
        <w:t xml:space="preserve">TR-D</w:t>
      </w:r>
      <w:r>
        <w:t xml:space="preserve">), who construct a</w:t>
      </w:r>
      <w:r>
        <w:t xml:space="preserve"> </w:t>
      </w:r>
      <w:r>
        <w:rPr>
          <w:b/>
          <w:bCs/>
        </w:rPr>
        <w:t xml:space="preserve">Global Airport Resilience Index (GARI)</w:t>
      </w:r>
      <w:r>
        <w:t xml:space="preserve"> </w:t>
      </w:r>
      <w:r>
        <w:t xml:space="preserve">that is (i)</w:t>
      </w:r>
      <w:r>
        <w:t xml:space="preserve"> </w:t>
      </w:r>
      <w:r>
        <w:rPr>
          <w:i/>
          <w:iCs/>
        </w:rPr>
        <w:t xml:space="preserve">simulation</w:t>
      </w:r>
      <w:r>
        <w:t xml:space="preserve">-based, (ii) limited to a single year (2023), and (iii) collapses resilience to a scalar; and Janić (2022,</w:t>
      </w:r>
      <w:r>
        <w:t xml:space="preserve"> </w:t>
      </w:r>
      <w:r>
        <w:rPr>
          <w:i/>
          <w:iCs/>
        </w:rPr>
        <w:t xml:space="preserve">Aeronautical Journal</w:t>
      </w:r>
      <w:r>
        <w:t xml:space="preserve">), who formalises the resilience/robustness/vulnerability vocabulary but applies it to only two airports (LHR, JFK) under a single shock (COVID). The present project occupies the gap they leave open: a</w:t>
      </w:r>
      <w:r>
        <w:t xml:space="preserve"> </w:t>
      </w:r>
      <w:r>
        <w:rPr>
          <w:b/>
          <w:bCs/>
        </w:rPr>
        <w:t xml:space="preserve">global panel, multiple observed shocks, and a multi-dimensional resilience triangle defined on five centrality components</w:t>
      </w:r>
      <w:r>
        <w:t xml:space="preserve">, while building directly on the inversion concept established by our previous work in the urban-rail setting.</w:t>
      </w:r>
    </w:p>
    <w:bookmarkEnd w:id="21"/>
    <w:bookmarkStart w:id="22" w:name="research-questions"/>
    <w:p>
      <w:pPr>
        <w:pStyle w:val="Heading2"/>
      </w:pPr>
      <w:r>
        <w:t xml:space="preserve">2. Research Questions</w:t>
      </w:r>
    </w:p>
    <w:p>
      <w:pPr>
        <w:pStyle w:val="FirstParagraph"/>
      </w:pPr>
      <w:r>
        <w:t xml:space="preserve">The project is organised around four conceptual levers that go beyond what a single-city, single-shock design can reach.</w:t>
      </w:r>
    </w:p>
    <w:p>
      <w:pPr>
        <w:pStyle w:val="BodyText"/>
      </w:pPr>
      <w:r>
        <w:rPr>
          <w:b/>
          <w:bCs/>
        </w:rPr>
        <w:t xml:space="preserve">RQ1 (Co-evolution).</w:t>
      </w:r>
      <w:r>
        <w:t xml:space="preserve"> </w:t>
      </w:r>
      <w:r>
        <w:t xml:space="preserve">How have</w:t>
      </w:r>
      <w:r>
        <w:t xml:space="preserve"> </w:t>
      </w:r>
      <w:r>
        <w:rPr>
          <w:i/>
          <w:iCs/>
        </w:rPr>
        <w:t xml:space="preserve">connectivity inequality</w:t>
      </w:r>
      <w:r>
        <w:t xml:space="preserve"> </w:t>
      </w:r>
      <w:r>
        <w:t xml:space="preserve">(Gini on GACI) and</w:t>
      </w:r>
      <w:r>
        <w:t xml:space="preserve"> </w:t>
      </w:r>
      <w:r>
        <w:rPr>
          <w:i/>
          <w:iCs/>
        </w:rPr>
        <w:t xml:space="preserve">resilience inequality</w:t>
      </w:r>
      <w:r>
        <w:t xml:space="preserve"> </w:t>
      </w:r>
      <w:r>
        <w:t xml:space="preserve">(Gini on Λ) co-evolved across the global airport network between 1996 and 2024? Do the two inequalities move together as mega-hubs rise, or diverge?</w:t>
      </w:r>
    </w:p>
    <w:p>
      <w:pPr>
        <w:pStyle w:val="BodyText"/>
      </w:pPr>
      <w:r>
        <w:rPr>
          <w:b/>
          <w:bCs/>
        </w:rPr>
        <w:t xml:space="preserve">RQ2 (Multi-shock robustness).</w:t>
      </w:r>
      <w:r>
        <w:t xml:space="preserve"> </w:t>
      </w:r>
      <w:r>
        <w:t xml:space="preserve">Does the inversion documented in our previous work (high-connectivity ↔ low-resilience) hold consistently across shock types — health, financial, geopolitical, natural — or is it confined to certain shock classes?</w:t>
      </w:r>
    </w:p>
    <w:p>
      <w:pPr>
        <w:pStyle w:val="BodyText"/>
      </w:pPr>
      <w:r>
        <w:rPr>
          <w:b/>
          <w:bCs/>
        </w:rPr>
        <w:t xml:space="preserve">RQ3 (Centrality-type fragility mapping).</w:t>
      </w:r>
      <w:r>
        <w:t xml:space="preserve"> </w:t>
      </w:r>
      <w:r>
        <w:t xml:space="preserve">Which of the five sub-components of GACI (Degree, Eigen, NorClose, NorBetweenness, RegionalImportance) is most strongly tied to resilience loss Λ? This is the first cross-shock attempt to quantify</w:t>
      </w:r>
      <w:r>
        <w:t xml:space="preserve"> </w:t>
      </w:r>
      <w:r>
        <w:rPr>
          <w:i/>
          <w:iCs/>
        </w:rPr>
        <w:t xml:space="preserve">“which kind of connectivity is the source of fragility.”</w:t>
      </w:r>
    </w:p>
    <w:p>
      <w:pPr>
        <w:pStyle w:val="BodyText"/>
      </w:pPr>
      <w:r>
        <w:rPr>
          <w:b/>
          <w:bCs/>
        </w:rPr>
        <w:t xml:space="preserve">RQ4 (Borrowed centrality / network substitution).</w:t>
      </w:r>
      <w:r>
        <w:t xml:space="preserve"> </w:t>
      </w:r>
      <w:r>
        <w:t xml:space="preserve">Which airports’ GACI actually</w:t>
      </w:r>
      <w:r>
        <w:t xml:space="preserve"> </w:t>
      </w:r>
      <w:r>
        <w:rPr>
          <w:i/>
          <w:iCs/>
        </w:rPr>
        <w:t xml:space="preserve">rises</w:t>
      </w:r>
      <w:r>
        <w:t xml:space="preserve"> </w:t>
      </w:r>
      <w:r>
        <w:t xml:space="preserve">during a shock, and is that rise (i) own growth, or (ii) absorbed traffic from collapsing neighboring hubs? Does the sign of substitution-vs-spillover flip across shock types?</w:t>
      </w:r>
    </w:p>
    <w:bookmarkEnd w:id="22"/>
    <w:bookmarkStart w:id="23" w:name="Xbca369a901212fcb989af1f095ee4af915b66a6"/>
    <w:p>
      <w:pPr>
        <w:pStyle w:val="Heading2"/>
      </w:pPr>
      <w:r>
        <w:t xml:space="preserve">3. Conceptual Framework — Resilience Triangle on a Five-Component Centrality</w:t>
      </w:r>
    </w:p>
    <w:p>
      <w:pPr>
        <w:pStyle w:val="FirstParagraph"/>
      </w:pPr>
      <w:r>
        <w:t xml:space="preserve">For every airport i and every shock s we construct a four-tuple following the established resilience-triangle lineage in engineering and transport-systems research (Bruneau et al., 2003; Cimellaro, Reinhorn &amp; Bruneau, 2010; Reggiani, Nijkamp &amp; Lanzi, 2015; Janić, 2022):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</w:t>
      </w:r>
      <w:r>
        <w:t xml:space="preserve">ᵢₛ (Robustness) = GACIᵢ,trough(s) / GACIᵢ,pre(s) — the share retained at the trough. Follows Bruneau et al. (2003) and Janić (2022) for transport infrastructure.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</w:t>
      </w:r>
      <w:r>
        <w:t xml:space="preserve">ᵢₛ (Rapidity) = years elapsed until GACI returns to 90% of pre-shock level. Standard rapidity definition in Bruneau et al. (2003); Cimellaro et al. (2010) discuss threshold choice.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</w:t>
      </w:r>
      <w:r>
        <w:t xml:space="preserve">ᵢₛ (Memory) = post-recovery new normal / pre-shock normal — whether the airport settles in a new equilibrium. Extends the</w:t>
      </w:r>
      <w:r>
        <w:t xml:space="preserve"> </w:t>
      </w:r>
      <w:r>
        <w:t xml:space="preserve">“permanent loss”</w:t>
      </w:r>
      <w:r>
        <w:t xml:space="preserve"> </w:t>
      </w:r>
      <w:r>
        <w:t xml:space="preserve">concept of Cimellaro et al. (2010, Eq. 5).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Λ</w:t>
      </w:r>
      <w:r>
        <w:t xml:space="preserve">ᵢₛ (Triangle area) = ∫[GACIᵢ,pre − GACIᵢ,t] dt — cumulative resilience loss. Direct application of Bruneau et al. (2003) and Cimellaro et al. (2010)</w:t>
      </w:r>
      <w:r>
        <w:t xml:space="preserve"> </w:t>
      </w:r>
      <w:r>
        <w:t xml:space="preserve">“loss-of-resilience”</w:t>
      </w:r>
      <w:r>
        <w:t xml:space="preserve"> </w:t>
      </w:r>
      <w:r>
        <w:t xml:space="preserve">integral to a discrete annual GACI time series.</w:t>
      </w:r>
    </w:p>
    <w:p>
      <w:pPr>
        <w:pStyle w:val="FirstParagraph"/>
      </w:pPr>
      <w:r>
        <w:t xml:space="preserve">The tuple (R, T, M, Λ) thus operationalises the</w:t>
      </w:r>
      <w:r>
        <w:t xml:space="preserve"> </w:t>
      </w:r>
      <w:r>
        <w:rPr>
          <w:b/>
          <w:bCs/>
        </w:rPr>
        <w:t xml:space="preserve">classical resilience triangle</w:t>
      </w:r>
      <w:r>
        <w:t xml:space="preserve"> </w:t>
      </w:r>
      <w:r>
        <w:t xml:space="preserve">as defined in Bruneau et al. (2003) and formalised analytically by Cimellaro et al. (2010), now applied to airport-level GACI dynamics. Janić (2022) collapsed R × (1/T) into a single scalar; we deliberately retain the</w:t>
      </w:r>
      <w:r>
        <w:t xml:space="preserve"> </w:t>
      </w:r>
      <w:r>
        <w:rPr>
          <w:b/>
          <w:bCs/>
        </w:rPr>
        <w:t xml:space="preserve">vector representation</w:t>
      </w:r>
      <w:r>
        <w:t xml:space="preserve"> </w:t>
      </w:r>
      <w:r>
        <w:t xml:space="preserve">so that depth, speed and permanence of disruption can each be examined separately — an approach also recommended in Reggiani et al. (2015) for transport-network resilience.</w:t>
      </w:r>
    </w:p>
    <w:p>
      <w:pPr>
        <w:pStyle w:val="BodyText"/>
      </w:pPr>
      <w:r>
        <w:t xml:space="preserve">The decisive conceptual move is to compute the four-tuple</w:t>
      </w:r>
      <w:r>
        <w:t xml:space="preserve"> </w:t>
      </w:r>
      <w:r>
        <w:rPr>
          <w:b/>
          <w:bCs/>
        </w:rPr>
        <w:t xml:space="preserve">not only for GACI but for each of its five sub-components separately</w:t>
      </w:r>
      <w:r>
        <w:t xml:space="preserve">, producing (Λ^Degree, Λ^Eigen, Λ^Close, Λ^Between, Λ^RegImp) per airport-shock. This lets us draw</w:t>
      </w:r>
      <w:r>
        <w:t xml:space="preserve"> </w:t>
      </w:r>
      <w:r>
        <w:rPr>
          <w:i/>
          <w:iCs/>
        </w:rPr>
        <w:t xml:space="preserve">fragility profiles</w:t>
      </w:r>
      <w:r>
        <w:t xml:space="preserve"> </w:t>
      </w:r>
      <w:r>
        <w:t xml:space="preserve">by centrality type.</w:t>
      </w:r>
    </w:p>
    <w:p>
      <w:pPr>
        <w:pStyle w:val="BodyText"/>
      </w:pPr>
      <w:r>
        <w:rPr>
          <w:b/>
          <w:bCs/>
        </w:rPr>
        <w:t xml:space="preserve">Pre-registered hypothesis (RQ3).</w:t>
      </w:r>
      <w:r>
        <w:t xml:space="preserve"> </w:t>
      </w:r>
      <w:r>
        <w:t xml:space="preserve">Eigenvector centrality should be the most fragile component, because by definition it is proportional to neighbors’ importance — when adjacent hubs collapse, the focal airport’s eigen-score collapses with them. Degree is the most robust component, because it counts direct ties only; an airport keeps its degree if its own routes survive. Normalized betweenness can paradoxically</w:t>
      </w:r>
      <w:r>
        <w:t xml:space="preserve"> </w:t>
      </w:r>
      <w:r>
        <w:rPr>
          <w:i/>
          <w:iCs/>
        </w:rPr>
        <w:t xml:space="preserve">increase</w:t>
      </w:r>
      <w:r>
        <w:t xml:space="preserve"> </w:t>
      </w:r>
      <w:r>
        <w:t xml:space="preserve">during shocks at substitution hubs that take over diverted traffic. Closeness and RegionalImportance should lie in between.</w:t>
      </w:r>
    </w:p>
    <w:bookmarkEnd w:id="23"/>
    <w:bookmarkStart w:id="28" w:name="methods-per-rq"/>
    <w:p>
      <w:pPr>
        <w:pStyle w:val="Heading2"/>
      </w:pPr>
      <w:r>
        <w:t xml:space="preserve">4. Methods per RQ</w:t>
      </w:r>
    </w:p>
    <w:bookmarkStart w:id="24" w:name="rq1-co-evolution-of-two-inequalities"/>
    <w:p>
      <w:pPr>
        <w:pStyle w:val="Heading3"/>
      </w:pPr>
      <w:r>
        <w:t xml:space="preserve">4.1 RQ1 — Co-evolution of two inequalities</w:t>
      </w:r>
    </w:p>
    <w:p>
      <w:pPr>
        <w:pStyle w:val="FirstParagraph"/>
      </w:pPr>
      <w:r>
        <w:t xml:space="preserve">For each year t we compute Gini^GACI_t over the cross-section of 5,428 airports. For each shock s we compute Gini^Λ_s; between shocks we either carry forward the most recent Λ or use a five-year rolling window. The two series are then subjected to:</w:t>
      </w:r>
    </w:p>
    <w:p>
      <w:pPr>
        <w:pStyle w:val="Compact"/>
        <w:numPr>
          <w:ilvl w:val="0"/>
          <w:numId w:val="1002"/>
        </w:numPr>
      </w:pPr>
      <w:r>
        <w:t xml:space="preserve">Cross-correlation function (lead–lag structure)</w:t>
      </w:r>
    </w:p>
    <w:p>
      <w:pPr>
        <w:pStyle w:val="Compact"/>
        <w:numPr>
          <w:ilvl w:val="0"/>
          <w:numId w:val="1002"/>
        </w:numPr>
      </w:pPr>
      <w:r>
        <w:t xml:space="preserve">Granger causality (does rising connectivity concentration</w:t>
      </w:r>
      <w:r>
        <w:t xml:space="preserve"> </w:t>
      </w:r>
      <w:r>
        <w:rPr>
          <w:i/>
          <w:iCs/>
        </w:rPr>
        <w:t xml:space="preserve">predict</w:t>
      </w:r>
      <w:r>
        <w:t xml:space="preserve"> </w:t>
      </w:r>
      <w:r>
        <w:t xml:space="preserve">later resilience divergence?)</w:t>
      </w:r>
    </w:p>
    <w:p>
      <w:pPr>
        <w:pStyle w:val="Compact"/>
        <w:numPr>
          <w:ilvl w:val="0"/>
          <w:numId w:val="1002"/>
        </w:numPr>
      </w:pPr>
      <w:r>
        <w:t xml:space="preserve">Bai–Perron multiple structural-break tests on each series, 1996–2024</w:t>
      </w:r>
    </w:p>
    <w:p>
      <w:pPr>
        <w:pStyle w:val="Compact"/>
        <w:numPr>
          <w:ilvl w:val="0"/>
          <w:numId w:val="1002"/>
        </w:numPr>
      </w:pPr>
      <w:r>
        <w:t xml:space="preserve">Regression: Gini^Λ_s ~ Gini^GACI_{s−k} + period dummies</w:t>
      </w:r>
    </w:p>
    <w:bookmarkEnd w:id="24"/>
    <w:bookmarkStart w:id="25" w:name="rq2-multi-shock-robustness"/>
    <w:p>
      <w:pPr>
        <w:pStyle w:val="Heading3"/>
      </w:pPr>
      <w:r>
        <w:t xml:space="preserve">4.2 RQ2 — Multi-shock robustness</w:t>
      </w:r>
    </w:p>
    <w:p>
      <w:pPr>
        <w:pStyle w:val="FirstParagraph"/>
      </w:pPr>
      <w:r>
        <w:rPr>
          <w:b/>
          <w:bCs/>
        </w:rPr>
        <w:t xml:space="preserve">Shock window definition (locked spec, 2026-05-15).</w:t>
      </w:r>
      <w:r>
        <w:t xml:space="preserve"> </w:t>
      </w:r>
      <w:r>
        <w:t xml:space="preserve">Pre-shock baseline =</w:t>
      </w:r>
      <w:r>
        <w:t xml:space="preserve"> </w:t>
      </w:r>
      <w:r>
        <w:rPr>
          <w:rStyle w:val="VerbatimChar"/>
        </w:rPr>
        <w:t xml:space="preserve">mean(GACI in [t_s − 3, t_s − 1])</w:t>
      </w:r>
      <w:r>
        <w:t xml:space="preserve">, following the 3-year averaging convention used in transport-resilience studies to smooth annual noise (Reggiani et al., 2015). Trough = airport-specific</w:t>
      </w:r>
      <w:r>
        <w:t xml:space="preserve"> </w:t>
      </w:r>
      <w:r>
        <w:rPr>
          <w:rStyle w:val="VerbatimChar"/>
        </w:rPr>
        <w:t xml:space="preserve">min(GACI_i in [t_s, t_s + 2])</w:t>
      </w:r>
      <w:r>
        <w:t xml:space="preserve">, allowing heterogeneous shock-propagation speed across regions. Recovery end = first year that GACI ≥ 90% of pre-shock level (90% as main spec, with 80% and 95% as sensitivity); the 90% threshold follows the practical recovery convention used in Cimellaro et al. (2010, §3.2).</w:t>
      </w:r>
    </w:p>
    <w:p>
      <w:pPr>
        <w:pStyle w:val="BodyText"/>
      </w:pPr>
      <w:r>
        <w:rPr>
          <w:b/>
          <w:bCs/>
        </w:rPr>
        <w:t xml:space="preserve">Clean-shock list (main panel, 5 events).</w:t>
      </w:r>
      <w:r>
        <w:t xml:space="preserve"> </w:t>
      </w:r>
      <w:r>
        <w:t xml:space="preserve">To eliminate pre-window contamination from prior shocks, we restrict the main resilience-triangle panel to shocks whose 3-year pre-window is free of any prior major aviation disruption: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Shock</w:t>
            </w:r>
          </w:p>
        </w:tc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Pre-window</w:t>
            </w:r>
          </w:p>
        </w:tc>
        <w:tc>
          <w:tcPr/>
          <w:p>
            <w:pPr>
              <w:pStyle w:val="Compact"/>
            </w:pPr>
            <w:r>
              <w:t xml:space="preserve">Primary region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9/11</w:t>
            </w:r>
          </w:p>
        </w:tc>
        <w:tc>
          <w:tcPr/>
          <w:p>
            <w:pPr>
              <w:pStyle w:val="Compact"/>
            </w:pPr>
            <w:r>
              <w:t xml:space="preserve">2001</w:t>
            </w:r>
          </w:p>
        </w:tc>
        <w:tc>
          <w:tcPr/>
          <w:p>
            <w:pPr>
              <w:pStyle w:val="Compact"/>
            </w:pPr>
            <w:r>
              <w:t xml:space="preserve">1998–2000</w:t>
            </w:r>
          </w:p>
        </w:tc>
        <w:tc>
          <w:tcPr/>
          <w:p>
            <w:pPr>
              <w:pStyle w:val="Compact"/>
            </w:pPr>
            <w:r>
              <w:t xml:space="preserve">NA1</w:t>
            </w:r>
          </w:p>
        </w:tc>
        <w:tc>
          <w:tcPr/>
          <w:p>
            <w:pPr>
              <w:pStyle w:val="Compact"/>
            </w:pPr>
            <w:r>
              <w:t xml:space="preserve">Geopolitical / 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SARS</w:t>
            </w:r>
          </w:p>
        </w:tc>
        <w:tc>
          <w:tcPr/>
          <w:p>
            <w:pPr>
              <w:pStyle w:val="Compact"/>
            </w:pPr>
            <w:r>
              <w:t xml:space="preserve">2003</w:t>
            </w:r>
          </w:p>
        </w:tc>
        <w:tc>
          <w:tcPr/>
          <w:p>
            <w:pPr>
              <w:pStyle w:val="Compact"/>
            </w:pPr>
            <w:r>
              <w:t xml:space="preserve">2000–2002</w:t>
            </w:r>
          </w:p>
        </w:tc>
        <w:tc>
          <w:tcPr/>
          <w:p>
            <w:pPr>
              <w:pStyle w:val="Compact"/>
            </w:pPr>
            <w:r>
              <w:t xml:space="preserve">AS1, AS2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Global Financial Crisis</w:t>
            </w:r>
          </w:p>
        </w:tc>
        <w:tc>
          <w:tcPr/>
          <w:p>
            <w:pPr>
              <w:pStyle w:val="Compact"/>
            </w:pPr>
            <w:r>
              <w:t xml:space="preserve">2008–09</w:t>
            </w:r>
          </w:p>
        </w:tc>
        <w:tc>
          <w:tcPr/>
          <w:p>
            <w:pPr>
              <w:pStyle w:val="Compact"/>
            </w:pPr>
            <w:r>
              <w:t xml:space="preserve">2005–2007</w:t>
            </w:r>
          </w:p>
        </w:tc>
        <w:tc>
          <w:tcPr/>
          <w:p>
            <w:pPr>
              <w:pStyle w:val="Compact"/>
            </w:pPr>
            <w:r>
              <w:t xml:space="preserve">EU1, NA1, global</w:t>
            </w:r>
          </w:p>
        </w:tc>
        <w:tc>
          <w:tcPr/>
          <w:p>
            <w:pPr>
              <w:pStyle w:val="Compact"/>
            </w:pPr>
            <w:r>
              <w:t xml:space="preserve">Financial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Ebola</w:t>
            </w:r>
          </w:p>
        </w:tc>
        <w:tc>
          <w:tcPr/>
          <w:p>
            <w:pPr>
              <w:pStyle w:val="Compact"/>
            </w:pPr>
            <w:r>
              <w:t xml:space="preserve">2014</w:t>
            </w:r>
          </w:p>
        </w:tc>
        <w:tc>
          <w:tcPr/>
          <w:p>
            <w:pPr>
              <w:pStyle w:val="Compact"/>
            </w:pPr>
            <w:r>
              <w:t xml:space="preserve">2011–2013</w:t>
            </w:r>
          </w:p>
        </w:tc>
        <w:tc>
          <w:tcPr/>
          <w:p>
            <w:pPr>
              <w:pStyle w:val="Compact"/>
            </w:pPr>
            <w:r>
              <w:t xml:space="preserve">AF3, AF4</w:t>
            </w:r>
          </w:p>
        </w:tc>
        <w:tc>
          <w:tcPr/>
          <w:p>
            <w:pPr>
              <w:pStyle w:val="Compact"/>
            </w:pPr>
            <w:r>
              <w:t xml:space="preserve">Health / regional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COVID-19</w:t>
            </w:r>
          </w:p>
        </w:tc>
        <w:tc>
          <w:tcPr/>
          <w:p>
            <w:pPr>
              <w:pStyle w:val="Compact"/>
            </w:pPr>
            <w:r>
              <w:t xml:space="preserve">2020</w:t>
            </w:r>
          </w:p>
        </w:tc>
        <w:tc>
          <w:tcPr/>
          <w:p>
            <w:pPr>
              <w:pStyle w:val="Compact"/>
            </w:pPr>
            <w:r>
              <w:t xml:space="preserve">2017–2019</w:t>
            </w:r>
          </w:p>
        </w:tc>
        <w:tc>
          <w:tcPr/>
          <w:p>
            <w:pPr>
              <w:pStyle w:val="Compact"/>
            </w:pPr>
            <w:r>
              <w:t xml:space="preserve">Global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</w:tr>
    </w:tbl>
    <w:p>
      <w:pPr>
        <w:pStyle w:val="BodyText"/>
      </w:pPr>
      <w:r>
        <w:rPr>
          <w:b/>
          <w:bCs/>
        </w:rPr>
        <w:t xml:space="preserve">Excluded from main panel (overlap with prior shock):</w:t>
      </w:r>
      <w:r>
        <w:t xml:space="preserve"> </w:t>
      </w:r>
      <w:r>
        <w:t xml:space="preserve">H1N1 2009 (within GFC), Eyjafjallajökull ash 2010, Arab Spring 2011, and Russia sanctions 2014 (all within GFC tail); Russia airspace closure 2022 (within COVID recovery). The Russia 2022 case is</w:t>
      </w:r>
      <w:r>
        <w:t xml:space="preserve"> </w:t>
      </w:r>
      <w:r>
        <w:rPr>
          <w:b/>
          <w:bCs/>
        </w:rPr>
        <w:t xml:space="preserve">retained as a qualitative case study for RQ4</w:t>
      </w:r>
      <w:r>
        <w:t xml:space="preserve"> </w:t>
      </w:r>
      <w:r>
        <w:t xml:space="preserve">because it is the canonical observed substitution event: trans-Siberian-detour traffic absorbed by IST and DOH.</w:t>
      </w:r>
    </w:p>
    <w:p>
      <w:pPr>
        <w:pStyle w:val="BodyText"/>
      </w:pPr>
      <w:r>
        <w:t xml:space="preserve">For each shock we obtain a 5,428-airport × (R, T, M, Λ) meta-database and classify airports into four quadrants on the (pre-shock GACI, Λ) plane, with axes crossed at their medians:</w:t>
      </w:r>
    </w:p>
    <w:p>
      <w:pPr>
        <w:pStyle w:val="Compact"/>
        <w:numPr>
          <w:ilvl w:val="0"/>
          <w:numId w:val="1003"/>
        </w:numPr>
      </w:pPr>
      <w:r>
        <w:t xml:space="preserve">Q1: high-GACI, high-resilience (frontier)</w:t>
      </w:r>
    </w:p>
    <w:p>
      <w:pPr>
        <w:pStyle w:val="Compact"/>
        <w:numPr>
          <w:ilvl w:val="0"/>
          <w:numId w:val="1003"/>
        </w:numPr>
      </w:pPr>
      <w:r>
        <w:t xml:space="preserve">Q2: high-GACI, low-resilience — the</w:t>
      </w:r>
      <w:r>
        <w:t xml:space="preserve"> </w:t>
      </w:r>
      <w:r>
        <w:rPr>
          <w:i/>
          <w:iCs/>
        </w:rPr>
        <w:t xml:space="preserve">mega-hub fragility</w:t>
      </w:r>
      <w:r>
        <w:t xml:space="preserve"> </w:t>
      </w:r>
      <w:r>
        <w:t xml:space="preserve">quadrant (the aviation analogue of the urban-core advantaged neighbourhoods identified in our previous work)</w:t>
      </w:r>
    </w:p>
    <w:p>
      <w:pPr>
        <w:pStyle w:val="Compact"/>
        <w:numPr>
          <w:ilvl w:val="0"/>
          <w:numId w:val="1003"/>
        </w:numPr>
      </w:pPr>
      <w:r>
        <w:t xml:space="preserve">Q3: low-GACI, high-resilience (peripheral safe-havens)</w:t>
      </w:r>
    </w:p>
    <w:p>
      <w:pPr>
        <w:pStyle w:val="Compact"/>
        <w:numPr>
          <w:ilvl w:val="0"/>
          <w:numId w:val="1003"/>
        </w:numPr>
      </w:pPr>
      <w:r>
        <w:t xml:space="preserve">Q4: low-GACI, low-resilience (doubly disadvantaged)</w:t>
      </w:r>
    </w:p>
    <w:p>
      <w:pPr>
        <w:pStyle w:val="FirstParagraph"/>
      </w:pPr>
      <w:r>
        <w:t xml:space="preserve">A pooled meta-regression then quantifies the inversion strength and its shock-type heterogeneity:</w:t>
      </w:r>
    </w:p>
    <w:p>
      <w:pPr>
        <w:pStyle w:val="BodyText"/>
      </w:pPr>
      <w:r>
        <w:t xml:space="preserve">Λᵢₛ = α + β · GACIᵢ,pre + Σ γₛ · ShockTypeₛ + δ · GACIᵢ,pre × ShockTypeₛ + Xᵢβ + εᵢₛ</w:t>
      </w:r>
    </w:p>
    <w:p>
      <w:pPr>
        <w:pStyle w:val="BodyText"/>
      </w:pPr>
      <w:r>
        <w:t xml:space="preserve">The inversion prediction is β &gt; 0; interaction terms test whether the inversion is uniform across shock classes.</w:t>
      </w:r>
    </w:p>
    <w:bookmarkEnd w:id="25"/>
    <w:bookmarkStart w:id="26" w:name="X90d86615cff1803c759494bc7df71f6e486d69d"/>
    <w:p>
      <w:pPr>
        <w:pStyle w:val="Heading3"/>
      </w:pPr>
      <w:r>
        <w:t xml:space="preserve">4.3 RQ3 — Centrality-type fragility decomposition</w:t>
      </w:r>
    </w:p>
    <w:p>
      <w:pPr>
        <w:pStyle w:val="FirstParagraph"/>
      </w:pPr>
      <w:r>
        <w:t xml:space="preserve">The four-tuple is computed</w:t>
      </w:r>
      <w:r>
        <w:t xml:space="preserve"> </w:t>
      </w:r>
      <w:r>
        <w:rPr>
          <w:i/>
          <w:iCs/>
        </w:rPr>
        <w:t xml:space="preserve">separately</w:t>
      </w:r>
      <w:r>
        <w:t xml:space="preserve"> </w:t>
      </w:r>
      <w:r>
        <w:t xml:space="preserve">for each of the five components, yielding fragility profiles. Analyses include: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Component-wise inequality.</w:t>
      </w:r>
      <w:r>
        <w:t xml:space="preserve"> </w:t>
      </w:r>
      <w:r>
        <w:t xml:space="preserve">How each component’s Gini shifts during shocks — which component’s distribution is most reactive to disruption.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Cross-component correlation.</w:t>
      </w:r>
      <w:r>
        <w:t xml:space="preserve"> </w:t>
      </w:r>
      <w:r>
        <w:t xml:space="preserve">How strongly Λ^Eigen co-moves with the other components’ Λs, testing whether eigen-collapse is the synchronising signal.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Predictive regression.</w:t>
      </w:r>
      <w:r>
        <w:t xml:space="preserve"> </w:t>
      </w:r>
      <w:r>
        <w:t xml:space="preserve">Λ^GACIᵢₛ = Σₖ θₖ · Componentᵢ,pre^k + Xᵢβ + ε, with the pre-registered ordering θ_Eigen &gt; θ_Degree.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Shapley decomposition.</w:t>
      </w:r>
      <w:r>
        <w:t xml:space="preserve"> </w:t>
      </w:r>
      <w:r>
        <w:t xml:space="preserve">Variance of Λ^GACI attributed to each component’s contribution.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Heatmap visualisation.</w:t>
      </w:r>
      <w:r>
        <w:t xml:space="preserve"> </w:t>
      </w:r>
      <w:r>
        <w:t xml:space="preserve">An (airport × component) Λ matrix per shock, making fragility profiles visible at a glance.</w:t>
      </w:r>
    </w:p>
    <w:bookmarkEnd w:id="26"/>
    <w:bookmarkStart w:id="27" w:name="X9334eabe31b591a45127cea3f53d0b88f233da0"/>
    <w:p>
      <w:pPr>
        <w:pStyle w:val="Heading3"/>
      </w:pPr>
      <w:r>
        <w:t xml:space="preserve">4.4 RQ4 — Borrowed centrality / network substitution</w:t>
      </w:r>
    </w:p>
    <w:p>
      <w:pPr>
        <w:pStyle w:val="FirstParagraph"/>
      </w:pPr>
      <w:r>
        <w:rPr>
          <w:b/>
          <w:bCs/>
        </w:rPr>
        <w:t xml:space="preserve">Risers.</w:t>
      </w:r>
      <w:r>
        <w:t xml:space="preserve"> </w:t>
      </w:r>
      <w:r>
        <w:t xml:space="preserve">Airports with ΔGACIᵢ &gt; 0 during a shock are flagged as</w:t>
      </w:r>
      <w:r>
        <w:t xml:space="preserve"> </w:t>
      </w:r>
      <w:r>
        <w:t xml:space="preserve">“risers.”</w:t>
      </w:r>
      <w:r>
        <w:t xml:space="preserve"> </w:t>
      </w:r>
      <w:r>
        <w:t xml:space="preserve">Pre-registered candidate categories: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Cargo specialists</w:t>
      </w:r>
      <w:r>
        <w:t xml:space="preserve">: MEM, ANC, LEJ, HKG-cargo (the COVID-era cargo surge)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Geo-bypass hubs</w:t>
      </w:r>
      <w:r>
        <w:t xml:space="preserve">: DOH (US-traffic detour after 9/11), IST (Russian-airspace detour 2022), KUL (regional substitution)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Regional safe-havens</w:t>
      </w:r>
      <w:r>
        <w:t xml:space="preserve">: hubs adjacent to but unaffected by a region-specific shock</w:t>
      </w:r>
    </w:p>
    <w:p>
      <w:pPr>
        <w:pStyle w:val="FirstParagraph"/>
      </w:pPr>
      <w:r>
        <w:rPr>
          <w:b/>
          <w:bCs/>
        </w:rPr>
        <w:t xml:space="preserve">Decomposition of riser dynamics.</w:t>
      </w:r>
    </w:p>
    <w:p>
      <w:pPr>
        <w:pStyle w:val="BodyText"/>
      </w:pPr>
      <w:r>
        <w:t xml:space="preserve">ΔGACIᵢ = αᵢ,own + Σⱼ≠ᵢ wᵢⱼ · L̃ⱼ + εᵢ</w:t>
      </w:r>
    </w:p>
    <w:p>
      <w:pPr>
        <w:pStyle w:val="BodyText"/>
      </w:pPr>
      <w:r>
        <w:t xml:space="preserve">where wᵢⱼ is the pre-shock route weight (shared flights or alliance overlap between i and j), and L̃ⱼ = −ΔGACIⱼ is neighbor j’s loss.</w:t>
      </w:r>
    </w:p>
    <w:p>
      <w:pPr>
        <w:pStyle w:val="BodyText"/>
      </w:pPr>
      <w:r>
        <w:rPr>
          <w:b/>
          <w:bCs/>
        </w:rPr>
        <w:t xml:space="preserve">Spatial autoregressive (SAR) model.</w:t>
      </w:r>
    </w:p>
    <w:p>
      <w:pPr>
        <w:pStyle w:val="BodyText"/>
      </w:pPr>
      <w:r>
        <w:t xml:space="preserve">ΔGACIᵢ = ρ · Σⱼ wᵢⱼ ΔGACIⱼ + Xᵢβ + ε</w:t>
      </w:r>
    </w:p>
    <w:p>
      <w:pPr>
        <w:pStyle w:val="Compact"/>
        <w:numPr>
          <w:ilvl w:val="0"/>
          <w:numId w:val="1006"/>
        </w:numPr>
      </w:pPr>
      <w:r>
        <w:t xml:space="preserve">ρ &lt; 0 indicates</w:t>
      </w:r>
      <w:r>
        <w:t xml:space="preserve"> </w:t>
      </w:r>
      <w:r>
        <w:rPr>
          <w:i/>
          <w:iCs/>
        </w:rPr>
        <w:t xml:space="preserve">substitution</w:t>
      </w:r>
      <w:r>
        <w:t xml:space="preserve"> </w:t>
      </w:r>
      <w:r>
        <w:t xml:space="preserve">(neighbor’s loss is the focal airport’s gain)</w:t>
      </w:r>
    </w:p>
    <w:p>
      <w:pPr>
        <w:pStyle w:val="Compact"/>
        <w:numPr>
          <w:ilvl w:val="0"/>
          <w:numId w:val="1006"/>
        </w:numPr>
      </w:pPr>
      <w:r>
        <w:t xml:space="preserve">ρ &gt; 0 indicates</w:t>
      </w:r>
      <w:r>
        <w:t xml:space="preserve"> </w:t>
      </w:r>
      <w:r>
        <w:rPr>
          <w:i/>
          <w:iCs/>
        </w:rPr>
        <w:t xml:space="preserve">spillover</w:t>
      </w:r>
      <w:r>
        <w:t xml:space="preserve"> </w:t>
      </w:r>
      <w:r>
        <w:t xml:space="preserve">(neighbor’s loss propagates as the focal airport’s loss)</w:t>
      </w:r>
    </w:p>
    <w:p>
      <w:pPr>
        <w:pStyle w:val="FirstParagraph"/>
      </w:pPr>
      <w:r>
        <w:rPr>
          <w:b/>
          <w:bCs/>
        </w:rPr>
        <w:t xml:space="preserve">Hypothesis.</w:t>
      </w:r>
      <w:r>
        <w:t xml:space="preserve"> </w:t>
      </w:r>
      <w:r>
        <w:t xml:space="preserve">ρ flips sign by shock type —</w:t>
      </w:r>
      <w:r>
        <w:t xml:space="preserve"> </w:t>
      </w:r>
      <w:r>
        <w:rPr>
          <w:i/>
          <w:iCs/>
        </w:rPr>
        <w:t xml:space="preserve">substitution</w:t>
      </w:r>
      <w:r>
        <w:t xml:space="preserve"> </w:t>
      </w:r>
      <w:r>
        <w:t xml:space="preserve">(ρ &lt; 0) for spatially confined shocks (SARS, Ebola, Russia 2022) and</w:t>
      </w:r>
      <w:r>
        <w:t xml:space="preserve"> </w:t>
      </w:r>
      <w:r>
        <w:rPr>
          <w:i/>
          <w:iCs/>
        </w:rPr>
        <w:t xml:space="preserve">spillover</w:t>
      </w:r>
      <w:r>
        <w:t xml:space="preserve"> </w:t>
      </w:r>
      <w:r>
        <w:t xml:space="preserve">(ρ &gt; 0) for globally synchronised shocks (COVID, GFC). The Russia-2022 airspace closure should be the textbook substitution case, with IST and DOH absorbing Trans-Siberian detour traffic.</w:t>
      </w:r>
    </w:p>
    <w:bookmarkEnd w:id="27"/>
    <w:bookmarkEnd w:id="28"/>
    <w:bookmarkStart w:id="29" w:name="expected-contributions"/>
    <w:p>
      <w:pPr>
        <w:pStyle w:val="Heading2"/>
      </w:pPr>
      <w:r>
        <w:t xml:space="preserve">5. Expected Contributions</w:t>
      </w:r>
    </w:p>
    <w:p>
      <w:pPr>
        <w:pStyle w:val="FirstParagraph"/>
      </w:pPr>
      <w:r>
        <w:rPr>
          <w:b/>
          <w:bCs/>
        </w:rPr>
        <w:t xml:space="preserve">Conceptual.</w:t>
      </w:r>
      <w:r>
        <w:t xml:space="preserve"> </w:t>
      </w:r>
      <w:r>
        <w:t xml:space="preserve">The project tests whether the connectivity–resilience inversion identified in our previous work — established for one city under a simulated shock — extends to the</w:t>
      </w:r>
      <w:r>
        <w:t xml:space="preserve"> </w:t>
      </w:r>
      <w:r>
        <w:rPr>
          <w:i/>
          <w:iCs/>
        </w:rPr>
        <w:t xml:space="preserve">global</w:t>
      </w:r>
      <w:r>
        <w:t xml:space="preserve"> </w:t>
      </w:r>
      <w:r>
        <w:t xml:space="preserve">aviation system observed across</w:t>
      </w:r>
      <w:r>
        <w:t xml:space="preserve"> </w:t>
      </w:r>
      <w:r>
        <w:rPr>
          <w:i/>
          <w:iCs/>
        </w:rPr>
        <w:t xml:space="preserve">multiple real</w:t>
      </w:r>
      <w:r>
        <w:t xml:space="preserve"> </w:t>
      </w:r>
      <w:r>
        <w:t xml:space="preserve">shocks. A positive verdict allows the broader claim that</w:t>
      </w:r>
      <w:r>
        <w:t xml:space="preserve"> </w:t>
      </w:r>
      <w:r>
        <w:rPr>
          <w:i/>
          <w:iCs/>
        </w:rPr>
        <w:t xml:space="preserve">the efficiency–resilience trade-off is not a parochial feature of urban infrastructure but a by-product of network globalisation itself</w:t>
      </w:r>
      <w:r>
        <w:t xml:space="preserve">. A negative or shock-conditional verdict is equally informative: it would identify the conditions under which the inversion appears.</w:t>
      </w:r>
    </w:p>
    <w:p>
      <w:pPr>
        <w:pStyle w:val="BodyText"/>
      </w:pPr>
      <w:r>
        <w:rPr>
          <w:b/>
          <w:bCs/>
        </w:rPr>
        <w:t xml:space="preserve">Methodological.</w:t>
      </w:r>
      <w:r>
        <w:t xml:space="preserve"> </w:t>
      </w:r>
      <w:r>
        <w:t xml:space="preserve">It is, to our knowledge, the first attempt to operationalise the resilience triangle as (i) an</w:t>
      </w:r>
      <w:r>
        <w:t xml:space="preserve"> </w:t>
      </w:r>
      <w:r>
        <w:rPr>
          <w:i/>
          <w:iCs/>
        </w:rPr>
        <w:t xml:space="preserve">observed</w:t>
      </w:r>
      <w:r>
        <w:t xml:space="preserve"> </w:t>
      </w:r>
      <w:r>
        <w:t xml:space="preserve">response rather than a simulated one, (ii) a</w:t>
      </w:r>
      <w:r>
        <w:t xml:space="preserve"> </w:t>
      </w:r>
      <w:r>
        <w:rPr>
          <w:i/>
          <w:iCs/>
        </w:rPr>
        <w:t xml:space="preserve">multi-year panel</w:t>
      </w:r>
      <w:r>
        <w:t xml:space="preserve"> </w:t>
      </w:r>
      <w:r>
        <w:t xml:space="preserve">rather than a snapshot, and (iii) a</w:t>
      </w:r>
      <w:r>
        <w:t xml:space="preserve"> </w:t>
      </w:r>
      <w:r>
        <w:rPr>
          <w:i/>
          <w:iCs/>
        </w:rPr>
        <w:t xml:space="preserve">five-component vector</w:t>
      </w:r>
      <w:r>
        <w:t xml:space="preserve"> </w:t>
      </w:r>
      <w:r>
        <w:t xml:space="preserve">rather than a scalar. The framework transfers directly to other globally observed networks: trade, power, finance.</w:t>
      </w:r>
    </w:p>
    <w:p>
      <w:pPr>
        <w:pStyle w:val="BodyText"/>
      </w:pPr>
      <w:r>
        <w:rPr>
          <w:b/>
          <w:bCs/>
        </w:rPr>
        <w:t xml:space="preserve">Empirical.</w:t>
      </w:r>
      <w:r>
        <w:t xml:space="preserve"> </w:t>
      </w:r>
      <w:r>
        <w:t xml:space="preserve">Differential fragility sources by shock type — e.g.,</w:t>
      </w:r>
      <w:r>
        <w:t xml:space="preserve"> </w:t>
      </w:r>
      <w:r>
        <w:rPr>
          <w:i/>
          <w:iCs/>
        </w:rPr>
        <w:t xml:space="preserve">health shocks → eigen-dependence, financial shocks → volume-dependence, geopolitical shocks → regional-importance dependence</w:t>
      </w:r>
      <w:r>
        <w:t xml:space="preserve"> </w:t>
      </w:r>
      <w:r>
        <w:t xml:space="preserve">— are quantified for the first time. The SAR estimation of borrowed centrality identifies the sign-flip conditions between substitution and spillover.</w:t>
      </w:r>
    </w:p>
    <w:p>
      <w:pPr>
        <w:pStyle w:val="BodyText"/>
      </w:pPr>
      <w:r>
        <w:rPr>
          <w:b/>
          <w:bCs/>
        </w:rPr>
        <w:t xml:space="preserve">Policy.</w:t>
      </w:r>
      <w:r>
        <w:t xml:space="preserve"> </w:t>
      </w:r>
      <w:r>
        <w:t xml:space="preserve">The systemic-risk cost of mega-hub concentration is quantified at the level of passenger and economic exposure. The country/city covariates (GDP, tourism, business, logistics, governance) that produce</w:t>
      </w:r>
      <w:r>
        <w:t xml:space="preserve"> </w:t>
      </w:r>
      <w:r>
        <w:rPr>
          <w:i/>
          <w:iCs/>
        </w:rPr>
        <w:t xml:space="preserve">frontier-positioned</w:t>
      </w:r>
      <w:r>
        <w:t xml:space="preserve"> </w:t>
      </w:r>
      <w:r>
        <w:t xml:space="preserve">airports (high efficiency and high resilience) are identified — directly relevant for developing-country aviation policy.</w:t>
      </w:r>
    </w:p>
    <w:bookmarkEnd w:id="29"/>
    <w:bookmarkStart w:id="30" w:name="data-pipeline-timeline"/>
    <w:p>
      <w:pPr>
        <w:pStyle w:val="Heading2"/>
      </w:pPr>
      <w:r>
        <w:t xml:space="preserve">6. Data, Pipeline, Timeline</w:t>
      </w:r>
    </w:p>
    <w:p>
      <w:pPr>
        <w:pStyle w:val="FirstParagraph"/>
      </w:pPr>
      <w:r>
        <w:rPr>
          <w:b/>
          <w:bCs/>
        </w:rPr>
        <w:t xml:space="preserve">Internal data (available now).</w:t>
      </w:r>
      <w:r>
        <w:t xml:space="preserve"> </w:t>
      </w:r>
      <w:r>
        <w:rPr>
          <w:rStyle w:val="VerbatimChar"/>
        </w:rPr>
        <w:t xml:space="preserve">GACI1996_2024_new_panel_data.csv</w:t>
      </w:r>
      <w:r>
        <w:t xml:space="preserve"> </w:t>
      </w:r>
      <w:r>
        <w:t xml:space="preserve">(5,428 airports × 29 years × 7 metrics = 101,049 airport-year observations, no missing values).</w:t>
      </w:r>
    </w:p>
    <w:p>
      <w:pPr>
        <w:pStyle w:val="BodyText"/>
      </w:pPr>
      <w:r>
        <w:rPr>
          <w:b/>
          <w:bCs/>
        </w:rPr>
        <w:t xml:space="preserve">External covariates (2–3 weeks to assemble).</w:t>
      </w:r>
      <w:r>
        <w:t xml:space="preserve"> </w:t>
      </w:r>
      <w:r>
        <w:t xml:space="preserve">GDP per capita, GDP growth, Logistics Performance Index (from 2007), and Worldwide Governance Indicators from the World Bank; tourism receipts and arrivals from UNWTO; airport-level cargo and international shares from IATA / ICAO; FDI flows and business-services GDP shares from OECD; shock metadata (origin date, type, affected regions) compiled in-house.</w:t>
      </w:r>
    </w:p>
    <w:p>
      <w:pPr>
        <w:pStyle w:val="BodyText"/>
      </w:pPr>
      <w:r>
        <w:rPr>
          <w:b/>
          <w:bCs/>
        </w:rPr>
        <w:t xml:space="preserve">Pipeline.</w:t>
      </w:r>
    </w:p>
    <w:p>
      <w:pPr>
        <w:pStyle w:val="Compact"/>
        <w:numPr>
          <w:ilvl w:val="0"/>
          <w:numId w:val="1007"/>
        </w:numPr>
      </w:pPr>
      <w:r>
        <w:t xml:space="preserve">(Python) Detect shock windows; compute (R, T, M, Λ) per airport × component × shock — 5,428 × 5 × 10 ≈ 271,400 cells.</w:t>
      </w:r>
    </w:p>
    <w:p>
      <w:pPr>
        <w:pStyle w:val="Compact"/>
        <w:numPr>
          <w:ilvl w:val="0"/>
          <w:numId w:val="1007"/>
        </w:numPr>
      </w:pPr>
      <w:r>
        <w:t xml:space="preserve">(Python) Annual Gini series + shock-wise quadrant classification.</w:t>
      </w:r>
    </w:p>
    <w:p>
      <w:pPr>
        <w:pStyle w:val="Compact"/>
        <w:numPr>
          <w:ilvl w:val="0"/>
          <w:numId w:val="1007"/>
        </w:numPr>
      </w:pPr>
    </w:p>
    <w:p>
      <w:pPr>
        <w:pStyle w:val="Compact"/>
        <w:numPr>
          <w:ilvl w:val="1"/>
          <w:numId w:val="1008"/>
        </w:numPr>
      </w:pPr>
      <w:r>
        <w:t xml:space="preserve">Covariate PCA / EFA → four latent factors (business hub-ness, tourism dependence, logistics readiness, governance capacity).</w:t>
      </w:r>
    </w:p>
    <w:p>
      <w:pPr>
        <w:pStyle w:val="Compact"/>
        <w:numPr>
          <w:ilvl w:val="0"/>
          <w:numId w:val="1007"/>
        </w:numPr>
      </w:pPr>
    </w:p>
    <w:p>
      <w:pPr>
        <w:pStyle w:val="Compact"/>
        <w:numPr>
          <w:ilvl w:val="1"/>
          <w:numId w:val="1009"/>
        </w:numPr>
      </w:pPr>
      <w:r>
        <w:t xml:space="preserve">Meta-regression and Spatial AR via the</w:t>
      </w:r>
      <w:r>
        <w:t xml:space="preserve"> </w:t>
      </w:r>
      <w:r>
        <w:rPr>
          <w:rStyle w:val="VerbatimChar"/>
        </w:rPr>
        <w:t xml:space="preserve">spdep</w:t>
      </w:r>
      <w:r>
        <w:t xml:space="preserve"> </w:t>
      </w:r>
      <w:r>
        <w:t xml:space="preserve">package.</w:t>
      </w:r>
    </w:p>
    <w:p>
      <w:pPr>
        <w:pStyle w:val="Compact"/>
        <w:numPr>
          <w:ilvl w:val="0"/>
          <w:numId w:val="1007"/>
        </w:numPr>
      </w:pPr>
      <w:r>
        <w:t xml:space="preserve">(Python / QGIS) Visualisation: per-shock world maps of quadrants (10 panels), per-shock Lorenz curves, centrality-component heatmaps, efficiency–resilience Pareto frontier scatter.</w:t>
      </w:r>
    </w:p>
    <w:p>
      <w:pPr>
        <w:pStyle w:val="FirstParagraph"/>
      </w:pPr>
      <w:r>
        <w:rPr>
          <w:b/>
          <w:bCs/>
        </w:rPr>
        <w:t xml:space="preserve">Timeline.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Week 1–4 (RQ1, RQ3):</w:t>
      </w:r>
      <w:r>
        <w:t xml:space="preserve"> </w:t>
      </w:r>
      <w:r>
        <w:t xml:space="preserve">CSV-only stage; primary conceptual findings produced.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Week 5–8 (RQ2, RQ4):</w:t>
      </w:r>
      <w:r>
        <w:t xml:space="preserve"> </w:t>
      </w:r>
      <w:r>
        <w:t xml:space="preserve">After external covariates are merged; quadrant maps and SAR estimation completed.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Week 9–12 (Draft):</w:t>
      </w:r>
      <w:r>
        <w:t xml:space="preserve"> </w:t>
      </w:r>
      <w:r>
        <w:t xml:space="preserve">Methods and Results first draft.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Total: 12 weeks (3 months)</w:t>
      </w:r>
      <w:r>
        <w:t xml:space="preserve"> </w:t>
      </w:r>
      <w:r>
        <w:t xml:space="preserve">to a submission-ready manuscript.</w:t>
      </w:r>
    </w:p>
    <w:p>
      <w:pPr>
        <w:pStyle w:val="FirstParagraph"/>
      </w:pPr>
      <w:r>
        <w:rPr>
          <w:b/>
          <w:bCs/>
        </w:rPr>
        <w:t xml:space="preserve">Target-journal ranking.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Nature Communications</w:t>
      </w:r>
      <w:r>
        <w:t xml:space="preserve"> </w:t>
      </w:r>
      <w:r>
        <w:t xml:space="preserve">— global system × equity × resilience, scope-exact fit.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Nature Cities</w:t>
      </w:r>
      <w:r>
        <w:t xml:space="preserve"> </w:t>
      </w:r>
      <w:r>
        <w:t xml:space="preserve">— same venue as our previous work, attractive if the city-airport bridge is emphasised.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Nature Sustainability</w:t>
      </w:r>
      <w:r>
        <w:t xml:space="preserve"> </w:t>
      </w:r>
      <w:r>
        <w:t xml:space="preserve">— if the climate-shock framing is foregrounded.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PNAS</w:t>
      </w:r>
      <w:r>
        <w:t xml:space="preserve"> </w:t>
      </w:r>
      <w:r>
        <w:t xml:space="preserve">— if the methodological backbone is the headline.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Transportation Research Part D / A / E</w:t>
      </w:r>
      <w:r>
        <w:t xml:space="preserve"> </w:t>
      </w:r>
      <w:r>
        <w:t xml:space="preserve">— disciplinary fallback (Wandelt 2024 is in TR-D).</w:t>
      </w:r>
    </w:p>
    <w:bookmarkEnd w:id="30"/>
    <w:bookmarkStart w:id="31" w:name="open-questions-for-co-authors"/>
    <w:p>
      <w:pPr>
        <w:pStyle w:val="Heading2"/>
      </w:pPr>
      <w:r>
        <w:t xml:space="preserve">7. Open Questions for Co-authors</w:t>
      </w:r>
    </w:p>
    <w:p>
      <w:pPr>
        <w:pStyle w:val="Compact"/>
        <w:numPr>
          <w:ilvl w:val="0"/>
          <w:numId w:val="1012"/>
        </w:numPr>
      </w:pPr>
      <w:r>
        <w:t xml:space="preserve">Do we report the resilience triangle as a full (R, T, M) 3-D object, or simplify to (Λ, T) two dimensions for the main figures?</w:t>
      </w:r>
    </w:p>
    <w:p>
      <w:pPr>
        <w:pStyle w:val="Compact"/>
        <w:numPr>
          <w:ilvl w:val="0"/>
          <w:numId w:val="1012"/>
        </w:numPr>
      </w:pPr>
      <w:r>
        <w:t xml:space="preserve">For covariate dimension reduction, PCA (interpretable) or EFA (latent-factor hypotheses testable)?</w:t>
      </w:r>
    </w:p>
    <w:p>
      <w:pPr>
        <w:pStyle w:val="Compact"/>
        <w:numPr>
          <w:ilvl w:val="0"/>
          <w:numId w:val="1012"/>
        </w:numPr>
      </w:pPr>
      <w:r>
        <w:t xml:space="preserve">Is the 90% recovery threshold (with 80% / 95% as sensitivity) appropriate, or should we anchor on a different definition (e.g., 1-sigma return-to-trend)?</w:t>
      </w:r>
    </w:p>
    <w:p>
      <w:pPr>
        <w:pStyle w:val="Compact"/>
        <w:numPr>
          <w:ilvl w:val="0"/>
          <w:numId w:val="1012"/>
        </w:numPr>
      </w:pPr>
      <w:r>
        <w:t xml:space="preserve">For the SAR weights wᵢⱼ, which specification is the main one — pre-shock route share, alliance overlap, or continental adjacency?</w:t>
      </w:r>
    </w:p>
    <w:p>
      <w:pPr>
        <w:pStyle w:val="Compact"/>
        <w:numPr>
          <w:ilvl w:val="0"/>
          <w:numId w:val="1012"/>
        </w:numPr>
      </w:pPr>
      <w:r>
        <w:t xml:space="preserve">RQ3 has a collinearity risk because eigenvector centrality is mechanically inside the GACI formula. Do we orthogonalise the components before regression, or use Shapley-style variance decomposition only?</w:t>
      </w:r>
    </w:p>
    <w:bookmarkEnd w:id="31"/>
    <w:bookmarkStart w:id="32" w:name="key-references"/>
    <w:p>
      <w:pPr>
        <w:pStyle w:val="Heading2"/>
      </w:pPr>
      <w:r>
        <w:t xml:space="preserve">8. Key References</w:t>
      </w:r>
    </w:p>
    <w:p>
      <w:pPr>
        <w:pStyle w:val="FirstParagraph"/>
      </w:pPr>
      <w:r>
        <w:rPr>
          <w:b/>
          <w:bCs/>
        </w:rPr>
        <w:t xml:space="preserve">Resilience-triangle formulation.</w:t>
      </w:r>
    </w:p>
    <w:p>
      <w:pPr>
        <w:pStyle w:val="Compact"/>
        <w:numPr>
          <w:ilvl w:val="0"/>
          <w:numId w:val="1013"/>
        </w:numPr>
      </w:pPr>
      <w:r>
        <w:t xml:space="preserve">Bruneau, M., Chang, S.E., Eguchi, R.T., Lee, G.C., O’Rourke, T.D., Reinhorn, A.M., Shinozuka, M., Tierney, K., Wallace, W.A., von Winterfeldt, D. (2003). A framework to quantitatively assess and enhance the seismic resilience of communities.</w:t>
      </w:r>
      <w:r>
        <w:t xml:space="preserve"> </w:t>
      </w:r>
      <w:r>
        <w:rPr>
          <w:i/>
          <w:iCs/>
        </w:rPr>
        <w:t xml:space="preserve">Earthquake Spectra</w:t>
      </w:r>
      <w:r>
        <w:t xml:space="preserve">, 19(4), 733–752. — Origin of the (R, T, Λ) resilience triangle.</w:t>
      </w:r>
    </w:p>
    <w:p>
      <w:pPr>
        <w:pStyle w:val="Compact"/>
        <w:numPr>
          <w:ilvl w:val="0"/>
          <w:numId w:val="1013"/>
        </w:numPr>
      </w:pPr>
      <w:r>
        <w:t xml:space="preserve">Cimellaro, G.P., Reinhorn, A.M., Bruneau, M. (2010). Framework for analytical quantification of disaster resilience.</w:t>
      </w:r>
      <w:r>
        <w:t xml:space="preserve"> </w:t>
      </w:r>
      <w:r>
        <w:rPr>
          <w:i/>
          <w:iCs/>
        </w:rPr>
        <w:t xml:space="preserve">Engineering Structures</w:t>
      </w:r>
      <w:r>
        <w:t xml:space="preserve">, 32(11), 3639–3649. — Analytical formalisation of the Λ integral and recovery-threshold convention.</w:t>
      </w:r>
    </w:p>
    <w:p>
      <w:pPr>
        <w:pStyle w:val="Compact"/>
        <w:numPr>
          <w:ilvl w:val="0"/>
          <w:numId w:val="1013"/>
        </w:numPr>
      </w:pPr>
      <w:r>
        <w:t xml:space="preserve">Reggiani, A., Nijkamp, P., Lanzi, D. (2015). Transport resilience and vulnerability: the role of connectivity.</w:t>
      </w:r>
      <w:r>
        <w:t xml:space="preserve"> </w:t>
      </w:r>
      <w:r>
        <w:rPr>
          <w:i/>
          <w:iCs/>
        </w:rPr>
        <w:t xml:space="preserve">Transportation Research Part A</w:t>
      </w:r>
      <w:r>
        <w:t xml:space="preserve">, 81, 4–15. — Recommends vector representation of resilience for transport networks.</w:t>
      </w:r>
    </w:p>
    <w:p>
      <w:pPr>
        <w:pStyle w:val="Compact"/>
        <w:numPr>
          <w:ilvl w:val="0"/>
          <w:numId w:val="1013"/>
        </w:numPr>
      </w:pPr>
      <w:r>
        <w:t xml:space="preserve">Janić, M. (2022). Analysis and modelling of airport resilience, robustness, and vulnerability: impact of COVID-19 pandemic disease.</w:t>
      </w:r>
      <w:r>
        <w:t xml:space="preserve"> </w:t>
      </w:r>
      <w:r>
        <w:rPr>
          <w:i/>
          <w:iCs/>
        </w:rPr>
        <w:t xml:space="preserve">The Aeronautical Journal</w:t>
      </w:r>
      <w:r>
        <w:t xml:space="preserve">, 126(1304), 1924–1953. — Airport-level application of R/robustness/vulnerability.</w:t>
      </w:r>
    </w:p>
    <w:p>
      <w:pPr>
        <w:pStyle w:val="FirstParagraph"/>
      </w:pPr>
      <w:r>
        <w:rPr>
          <w:b/>
          <w:bCs/>
        </w:rPr>
        <w:t xml:space="preserve">Aviation-network connectivity and resilience.</w:t>
      </w:r>
    </w:p>
    <w:p>
      <w:pPr>
        <w:pStyle w:val="Compact"/>
        <w:numPr>
          <w:ilvl w:val="0"/>
          <w:numId w:val="1014"/>
        </w:numPr>
      </w:pPr>
      <w:r>
        <w:t xml:space="preserve">Cheung, T.K.Y., Wong, C.W.H., Zhang, A. (2020). The evolution of aviation network: Global airport connectivity index 2006–2016.</w:t>
      </w:r>
      <w:r>
        <w:t xml:space="preserve"> </w:t>
      </w:r>
      <w:r>
        <w:rPr>
          <w:i/>
          <w:iCs/>
        </w:rPr>
        <w:t xml:space="preserve">Transportation Research Part E</w:t>
      </w:r>
      <w:r>
        <w:t xml:space="preserve">, 133, 101826. — Source of GACI.</w:t>
      </w:r>
    </w:p>
    <w:p>
      <w:pPr>
        <w:pStyle w:val="Compact"/>
        <w:numPr>
          <w:ilvl w:val="0"/>
          <w:numId w:val="1014"/>
        </w:numPr>
      </w:pPr>
      <w:r>
        <w:t xml:space="preserve">Wandelt, S., Zhang, A., Sun, X. (2024). Global Airport Resilience Index: Towards a comprehensive understanding of air transportation resilience.</w:t>
      </w:r>
      <w:r>
        <w:t xml:space="preserve"> </w:t>
      </w:r>
      <w:r>
        <w:rPr>
          <w:i/>
          <w:iCs/>
        </w:rPr>
        <w:t xml:space="preserve">Transportation Research Part D</w:t>
      </w:r>
      <w:r>
        <w:t xml:space="preserve">, 138, 104796. — Simulation-based scalar resilience benchmark.</w:t>
      </w:r>
    </w:p>
    <w:p>
      <w:pPr>
        <w:pStyle w:val="FirstParagraph"/>
      </w:pPr>
      <w:r>
        <w:rPr>
          <w:b/>
          <w:bCs/>
        </w:rPr>
        <w:t xml:space="preserve">Connectivity–resilience inversion in urban infrastructure.</w:t>
      </w:r>
    </w:p>
    <w:p>
      <w:pPr>
        <w:pStyle w:val="Compact"/>
        <w:numPr>
          <w:ilvl w:val="0"/>
          <w:numId w:val="1015"/>
        </w:numPr>
      </w:pPr>
      <w:r>
        <w:t xml:space="preserve">Our previous work, under review at</w:t>
      </w:r>
      <w:r>
        <w:t xml:space="preserve"> </w:t>
      </w:r>
      <w:r>
        <w:rPr>
          <w:i/>
          <w:iCs/>
        </w:rPr>
        <w:t xml:space="preserve">Nature Cities</w:t>
      </w:r>
      <w:r>
        <w:t xml:space="preserve"> </w:t>
      </w:r>
      <w:r>
        <w:t xml:space="preserve">(2026). Inequality in railway accessibility and resilience across the Tokyo Metropolitan area.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8318">
    <w:nsid w:val="0A998318"/>
    <w:multiLevelType w:val="multilevel"/>
    <w:lvl w:ilvl="0">
      <w:start w:val="18"/>
      <w:numFmt w:val="upperLetter"/>
      <w:lvlText w:val="(%1)"/>
      <w:lvlJc w:val="left"/>
      <w:pPr>
        <w:ind w:left="720" w:hanging="360"/>
      </w:pPr>
    </w:lvl>
    <w:lvl w:ilvl="1">
      <w:start w:val="18"/>
      <w:numFmt w:val="upperLetter"/>
      <w:lvlText w:val="(%2)"/>
      <w:lvlJc w:val="left"/>
      <w:pPr>
        <w:ind w:left="1440" w:hanging="360"/>
      </w:pPr>
    </w:lvl>
    <w:lvl w:ilvl="2">
      <w:start w:val="18"/>
      <w:numFmt w:val="upperLetter"/>
      <w:lvlText w:val="(%3)"/>
      <w:lvlJc w:val="left"/>
      <w:pPr>
        <w:ind w:left="2160" w:hanging="360"/>
      </w:pPr>
    </w:lvl>
    <w:lvl w:ilvl="3">
      <w:start w:val="18"/>
      <w:numFmt w:val="upperLetter"/>
      <w:lvlText w:val="(%4)"/>
      <w:lvlJc w:val="left"/>
      <w:pPr>
        <w:ind w:left="2880" w:hanging="360"/>
      </w:pPr>
    </w:lvl>
    <w:lvl w:ilvl="4">
      <w:start w:val="18"/>
      <w:numFmt w:val="upperLetter"/>
      <w:lvlText w:val="(%5)"/>
      <w:lvlJc w:val="left"/>
      <w:pPr>
        <w:ind w:left="3600" w:hanging="360"/>
      </w:pPr>
    </w:lvl>
    <w:lvl w:ilvl="5">
      <w:start w:val="18"/>
      <w:numFmt w:val="upperLetter"/>
      <w:lvlText w:val="(%6)"/>
      <w:lvlJc w:val="left"/>
      <w:pPr>
        <w:ind w:left="4320" w:hanging="360"/>
      </w:pPr>
    </w:lvl>
    <w:lvl w:ilvl="6">
      <w:start w:val="18"/>
      <w:numFmt w:val="upperLetter"/>
      <w:lvlText w:val="(%7)"/>
      <w:lvlJc w:val="left"/>
      <w:pPr>
        <w:ind w:left="5040" w:hanging="360"/>
      </w:pPr>
    </w:lvl>
    <w:lvl w:ilvl="7">
      <w:start w:val="18"/>
      <w:numFmt w:val="upperLetter"/>
      <w:lvlText w:val="(%8)"/>
      <w:lvlJc w:val="left"/>
      <w:pPr>
        <w:ind w:left="5760" w:hanging="360"/>
      </w:pPr>
    </w:lvl>
    <w:lvl w:ilvl="8">
      <w:start w:val="18"/>
      <w:numFmt w:val="upp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83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09">
    <w:abstractNumId w:val="9983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2026-05-15T04:48:18Z</dcterms:created>
  <dcterms:modified xsi:type="dcterms:W3CDTF">2026-05-15T04:48:18Z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