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08a3acee439b58c808a7a2ca94f7415b88bc52"/>
    <w:p>
      <w:pPr>
        <w:pStyle w:val="Heading1"/>
      </w:pPr>
      <w:r>
        <w:t xml:space="preserve">Connectivity–Resilience Inequality in the Global Aviation Network</w:t>
      </w:r>
    </w:p>
    <w:bookmarkStart w:id="20" w:name="X56a83365d6020467aac589c787e2a6e085e9e33"/>
    <w:p>
      <w:pPr>
        <w:pStyle w:val="Heading2"/>
      </w:pPr>
      <w:r>
        <w:t xml:space="preserve">A Multi-Shock Panel Test of the Inversion Hypothesis (1996–2024)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Lead:</w:t>
      </w:r>
      <w:r>
        <w:t xml:space="preserve"> </w:t>
      </w:r>
      <w:r>
        <w:t xml:space="preserve">Sunbin Yoo (Managi Lab)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GACI 1996–2024 panel (5,428 airports × 29 years × 7 metrics)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A central finding of our previous work (under review at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) is that</w:t>
      </w:r>
      <w:r>
        <w:t xml:space="preserve"> </w:t>
      </w:r>
      <w:r>
        <w:rPr>
          <w:b/>
          <w:bCs/>
        </w:rPr>
        <w:t xml:space="preserve">connectivity and resilience are inversely distributed</w:t>
      </w:r>
      <w:r>
        <w:t xml:space="preserve"> </w:t>
      </w:r>
      <w:r>
        <w:t xml:space="preserve">across urban infrastructure. In the Tokyo Metropolitan area, neighborhoods with the highest railway accessibility (wealthier, more educated, younger, central) systematically have the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resilience to disruption, while peripheral and older neighborhoods show the reverse. The inversion implies a stark policy trade-off: maximising connectivity concentrates fragility.</w:t>
      </w:r>
    </w:p>
    <w:p>
      <w:pPr>
        <w:pStyle w:val="BodyText"/>
      </w:pPr>
      <w:r>
        <w:t xml:space="preserve">The present project asks whether the</w:t>
      </w:r>
      <w:r>
        <w:t xml:space="preserve"> </w:t>
      </w:r>
      <w:r>
        <w:rPr>
          <w:b/>
          <w:bCs/>
        </w:rPr>
        <w:t xml:space="preserve">same inversion holds in the global aviation network observed under multiple real shocks</w:t>
      </w:r>
      <w:r>
        <w:t xml:space="preserve">, rather than in a single city under a single simulated shock. We use a lab-extended version of the Global Airport Connectivity Index (Cheung, Wong &amp; Zhang, 2020) covering 1996–2024, giving 5,428 airports across 29 years and ~10 observed shocks.</w:t>
      </w:r>
    </w:p>
    <w:p>
      <w:pPr>
        <w:pStyle w:val="BodyText"/>
      </w:pPr>
      <w:r>
        <w:t xml:space="preserve">The closest precedents leave the gap we occupy. Wandelt, Zhang &amp; Sun (2024,</w:t>
      </w:r>
      <w:r>
        <w:t xml:space="preserve"> </w:t>
      </w:r>
      <w:r>
        <w:rPr>
          <w:i/>
          <w:iCs/>
        </w:rPr>
        <w:t xml:space="preserve">TR-D</w:t>
      </w:r>
      <w:r>
        <w:t xml:space="preserve">) build a simulation-based Global Airport Resilience Index but cover only 2023, use hypothetical airport closures, and collapse resilience to a scalar. Janić (2022) formalises the resilience/robustness/vulnerability vocabulary but applies it to two airports (LHR, JFK) under one shock (COVID). Neither tests the inversion hypothesis on observed shocks at global scale, and neither retains a multi-dimensional resilience representation.</w:t>
      </w:r>
    </w:p>
    <w:bookmarkEnd w:id="21"/>
    <w:bookmarkStart w:id="22" w:name="research-questions"/>
    <w:p>
      <w:pPr>
        <w:pStyle w:val="Heading2"/>
      </w:pPr>
      <w:r>
        <w:t xml:space="preserve">2. Research Questions</w:t>
      </w:r>
    </w:p>
    <w:p>
      <w:pPr>
        <w:pStyle w:val="FirstParagraph"/>
      </w:pPr>
      <w:r>
        <w:rPr>
          <w:b/>
          <w:bCs/>
        </w:rPr>
        <w:t xml:space="preserve">RQ1 — Co-evolution.</w:t>
      </w:r>
      <w:r>
        <w:t xml:space="preserve"> </w:t>
      </w:r>
      <w:r>
        <w:t xml:space="preserve">How have</w:t>
      </w:r>
      <w:r>
        <w:t xml:space="preserve"> </w:t>
      </w:r>
      <w:r>
        <w:rPr>
          <w:i/>
          <w:iCs/>
        </w:rPr>
        <w:t xml:space="preserve">connectivity inequality</w:t>
      </w:r>
      <w:r>
        <w:t xml:space="preserve"> </w:t>
      </w:r>
      <w:r>
        <w:t xml:space="preserve">(Gini on GACI) and</w:t>
      </w:r>
      <w:r>
        <w:t xml:space="preserve"> </w:t>
      </w:r>
      <w:r>
        <w:rPr>
          <w:i/>
          <w:iCs/>
        </w:rPr>
        <w:t xml:space="preserve">resilience inequality</w:t>
      </w:r>
      <w:r>
        <w:t xml:space="preserve"> </w:t>
      </w:r>
      <w:r>
        <w:t xml:space="preserve">(Gini on resilience-loss Λ) co-evolved across the global airport network between 1996 and 2024? Do the two inequalities move together as mega-hubs rise, or diverge?</w:t>
      </w:r>
    </w:p>
    <w:p>
      <w:pPr>
        <w:pStyle w:val="BodyText"/>
      </w:pPr>
      <w:r>
        <w:rPr>
          <w:b/>
          <w:bCs/>
        </w:rPr>
        <w:t xml:space="preserve">RQ2 — Multi-shock robustness of inversion.</w:t>
      </w:r>
      <w:r>
        <w:t xml:space="preserve"> </w:t>
      </w:r>
      <w:r>
        <w:t xml:space="preserve">Does the inversion identified in our previous work (high-connectivity ↔ low-resilience) hold consistently across shock types — health, financial, geopolitical — or is it confined to certain shock classes?</w:t>
      </w:r>
    </w:p>
    <w:p>
      <w:pPr>
        <w:pStyle w:val="BodyText"/>
      </w:pPr>
      <w:r>
        <w:rPr>
          <w:b/>
          <w:bCs/>
        </w:rPr>
        <w:t xml:space="preserve">RQ3 — Centrality-component fragility.</w:t>
      </w:r>
      <w:r>
        <w:t xml:space="preserve"> </w:t>
      </w:r>
      <w:r>
        <w:t xml:space="preserve">Which of the five sub-components of GACI (Degree, Eigen, NorClose, NorBetweenness, RegionalImportance) is most strongly linked to resilience loss? We pre-register the hypothesis that</w:t>
      </w:r>
      <w:r>
        <w:t xml:space="preserve"> </w:t>
      </w:r>
      <w:r>
        <w:rPr>
          <w:i/>
          <w:iCs/>
        </w:rPr>
        <w:t xml:space="preserve">eigenvector centrality</w:t>
      </w:r>
      <w:r>
        <w:t xml:space="preserve"> </w:t>
      </w:r>
      <w:r>
        <w:t xml:space="preserve">is the most fragile component, because by definition it depends on neighbors’ importance and therefore collapses when neighboring hubs collapse.</w:t>
      </w:r>
    </w:p>
    <w:p>
      <w:pPr>
        <w:pStyle w:val="BodyText"/>
      </w:pPr>
      <w:r>
        <w:rPr>
          <w:b/>
          <w:bCs/>
        </w:rPr>
        <w:t xml:space="preserve">RQ4 — Borrowed centrality.</w:t>
      </w:r>
      <w:r>
        <w:t xml:space="preserve"> </w:t>
      </w:r>
      <w:r>
        <w:t xml:space="preserve">Which airports’ GACI actually</w:t>
      </w:r>
      <w:r>
        <w:t xml:space="preserve"> </w:t>
      </w:r>
      <w:r>
        <w:rPr>
          <w:i/>
          <w:iCs/>
        </w:rPr>
        <w:t xml:space="preserve">rises</w:t>
      </w:r>
      <w:r>
        <w:t xml:space="preserve"> </w:t>
      </w:r>
      <w:r>
        <w:t xml:space="preserve">during a shock, and is that rise (i) own growth, or (ii) absorbed traffic from collapsing neighboring hubs? We expect the sign of the substitution–spillover effect to flip across shock types — substitution dominates regionally confined shocks, spillover dominates globally synchronised shocks.</w:t>
      </w:r>
    </w:p>
    <w:bookmarkEnd w:id="22"/>
    <w:bookmarkStart w:id="23" w:name="Xd6623a759c633610053c4186b6f5c358daa90ea"/>
    <w:p>
      <w:pPr>
        <w:pStyle w:val="Heading2"/>
      </w:pPr>
      <w:r>
        <w:t xml:space="preserve">3. The Resilience Triangle: What R, T, M, Λ Measure</w:t>
      </w:r>
    </w:p>
    <w:p>
      <w:pPr>
        <w:pStyle w:val="FirstParagraph"/>
      </w:pPr>
      <w:r>
        <w:t xml:space="preserve">For each airport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each shock</w:t>
      </w:r>
      <w:r>
        <w:t xml:space="preserve"> </w:t>
      </w:r>
      <w:r>
        <w:rPr>
          <w:i/>
          <w:iCs/>
        </w:rPr>
        <w:t xml:space="preserve">s</w:t>
      </w:r>
      <w:r>
        <w:t xml:space="preserve">, we compute four numbers that decompose the airport’s response into four dimensions, following the resilience-triangle lineage in disaster-engineering (Bruneau et al., 2003; Cimellaro et al., 2010) and transport resilience (Reggiani et al., 2015; Janić, 2022).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asks</w:t>
            </w:r>
          </w:p>
        </w:tc>
        <w:tc>
          <w:tcPr/>
          <w:p>
            <w:pPr>
              <w:pStyle w:val="Compact"/>
            </w:pPr>
            <w:r>
              <w:t xml:space="preserve">Better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much was kept at the worst moment?</w:t>
            </w:r>
          </w:p>
        </w:tc>
        <w:tc>
          <w:tcPr/>
          <w:p>
            <w:pPr>
              <w:pStyle w:val="Compact"/>
            </w:pPr>
            <w:r>
              <w:t xml:space="preserve">R closer to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Rapidity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fast did the airport bounce back?</w:t>
            </w:r>
          </w:p>
        </w:tc>
        <w:tc>
          <w:tcPr/>
          <w:p>
            <w:pPr>
              <w:pStyle w:val="Compact"/>
            </w:pPr>
            <w:r>
              <w:t xml:space="preserve">T closer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Did the airport return to its old normal?</w:t>
            </w:r>
          </w:p>
        </w:tc>
        <w:tc>
          <w:tcPr/>
          <w:p>
            <w:pPr>
              <w:pStyle w:val="Compact"/>
            </w:pPr>
            <w:r>
              <w:t xml:space="preserve">M closer to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Triangle area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was the cumulative loss in GACI-years?</w:t>
            </w:r>
          </w:p>
        </w:tc>
        <w:tc>
          <w:tcPr/>
          <w:p>
            <w:pPr>
              <w:pStyle w:val="Compact"/>
            </w:pPr>
            <w:r>
              <w:t xml:space="preserve">Λ closer to 0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Worked example: LAX × COVID-19.</w:t>
      </w:r>
      <w:r>
        <w:t xml:space="preserve"> </w:t>
      </w:r>
      <w:r>
        <w:t xml:space="preserve">LAX’s GACI series 2017–2024: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GACI</w:t>
            </w:r>
          </w:p>
        </w:tc>
        <w:tc>
          <w:tcPr/>
          <w:p>
            <w:pPr>
              <w:pStyle w:val="Compact"/>
            </w:pPr>
            <w:r>
              <w:t xml:space="preserve">3.375</w:t>
            </w:r>
          </w:p>
        </w:tc>
        <w:tc>
          <w:tcPr/>
          <w:p>
            <w:pPr>
              <w:pStyle w:val="Compact"/>
            </w:pPr>
            <w:r>
              <w:t xml:space="preserve">3.332</w:t>
            </w:r>
          </w:p>
        </w:tc>
        <w:tc>
          <w:tcPr/>
          <w:p>
            <w:pPr>
              <w:pStyle w:val="Compact"/>
            </w:pPr>
            <w:r>
              <w:t xml:space="preserve">3.318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2.351</w:t>
            </w:r>
          </w:p>
        </w:tc>
        <w:tc>
          <w:tcPr/>
          <w:p>
            <w:pPr>
              <w:pStyle w:val="Compact"/>
            </w:pPr>
            <w:r>
              <w:t xml:space="preserve">2.394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3.023</w:t>
            </w:r>
          </w:p>
        </w:tc>
        <w:tc>
          <w:tcPr/>
          <w:p>
            <w:pPr>
              <w:pStyle w:val="Compact"/>
            </w:pPr>
            <w:r>
              <w:t xml:space="preserve">3.108</w:t>
            </w:r>
          </w:p>
        </w:tc>
        <w:tc>
          <w:tcPr/>
          <w:p>
            <w:pPr>
              <w:pStyle w:val="Compact"/>
            </w:pPr>
            <w:r>
              <w:t xml:space="preserve">3.257</w:t>
            </w:r>
          </w:p>
        </w:tc>
      </w:tr>
    </w:tbl>
    <w:p>
      <w:pPr>
        <w:pStyle w:val="BodyText"/>
      </w:pPr>
      <w:r>
        <w:t xml:space="preserve">From these values: pre-shock baseline = mean(2017–19) =</w:t>
      </w:r>
      <w:r>
        <w:t xml:space="preserve"> </w:t>
      </w:r>
      <w:r>
        <w:rPr>
          <w:b/>
          <w:bCs/>
        </w:rPr>
        <w:t xml:space="preserve">3.342</w:t>
      </w:r>
      <w:r>
        <w:t xml:space="preserve">; trough =</w:t>
      </w:r>
      <w:r>
        <w:t xml:space="preserve"> </w:t>
      </w:r>
      <w:r>
        <w:rPr>
          <w:b/>
          <w:bCs/>
        </w:rPr>
        <w:t xml:space="preserve">2.351</w:t>
      </w:r>
      <w:r>
        <w:t xml:space="preserve"> </w:t>
      </w:r>
      <w:r>
        <w:t xml:space="preserve">at 2020; 90% recovery threshold = 3.008; recovery year = first year ≥ 3.008 after trough =</w:t>
      </w:r>
      <w:r>
        <w:t xml:space="preserve"> </w:t>
      </w:r>
      <w:r>
        <w:rPr>
          <w:b/>
          <w:bCs/>
        </w:rPr>
        <w:t xml:space="preserve">2022</w:t>
      </w:r>
      <w:r>
        <w:t xml:space="preserve">.</w:t>
      </w:r>
    </w:p>
    <w:p>
      <w:pPr>
        <w:pStyle w:val="BodyText"/>
      </w:pPr>
      <w:r>
        <w:t xml:space="preserve">The four metrics evaluate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= 2.351 / 3.342 =</w:t>
      </w:r>
      <w:r>
        <w:t xml:space="preserve"> </w:t>
      </w:r>
      <w:r>
        <w:rPr>
          <w:b/>
          <w:bCs/>
        </w:rPr>
        <w:t xml:space="preserve">0.703</w:t>
      </w:r>
      <w:r>
        <w:t xml:space="preserve"> </w:t>
      </w:r>
      <w:r>
        <w:t xml:space="preserve">— LAX retained 70% of pre-shock GACI at the dip.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2022 − 2020 =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— recovered within two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3.257 / 3.342 =</w:t>
      </w:r>
      <w:r>
        <w:t xml:space="preserve"> </w:t>
      </w:r>
      <w:r>
        <w:rPr>
          <w:b/>
          <w:bCs/>
        </w:rPr>
        <w:t xml:space="preserve">0.975</w:t>
      </w:r>
      <w:r>
        <w:t xml:space="preserve"> </w:t>
      </w:r>
      <w:r>
        <w:t xml:space="preserve">— back to 97.5% of pre-shock by 2024 (2.5% permanent shortfall).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Λ</w:t>
      </w:r>
      <w:r>
        <w:t xml:space="preserve"> </w:t>
      </w:r>
      <w:r>
        <w:t xml:space="preserve">= (3.342 − 2.351) + (3.342 − 2.394) =</w:t>
      </w:r>
      <w:r>
        <w:t xml:space="preserve"> </w:t>
      </w:r>
      <w:r>
        <w:rPr>
          <w:b/>
          <w:bCs/>
        </w:rPr>
        <w:t xml:space="preserve">1.939 GACI·year</w:t>
      </w:r>
      <w:r>
        <w:t xml:space="preserve"> </w:t>
      </w:r>
      <w:r>
        <w:t xml:space="preserve">— cumulative gap, baseline minus observed, summed over the dip-to-recovery years.</w:t>
      </w:r>
    </w:p>
    <w:p>
      <w:pPr>
        <w:pStyle w:val="FirstParagraph"/>
      </w:pPr>
      <w:r>
        <w:rPr>
          <w:b/>
          <w:bCs/>
        </w:rPr>
        <w:t xml:space="preserve">Vector representation, not scalar.</w:t>
      </w:r>
      <w:r>
        <w:t xml:space="preserve"> </w:t>
      </w:r>
      <w:r>
        <w:t xml:space="preserve">Janić (2022) collapses these into a single number; we deliberately keep the four-tuple because two airports with the same scalar can hide very different stories (a deep-fast-bounce profile is a different policy problem from a shallow-slow-bounce profile). Reggiani et al. (2015) recommend exactly this vector representation for transport networks.</w:t>
      </w:r>
    </w:p>
    <w:p>
      <w:pPr>
        <w:pStyle w:val="BodyText"/>
      </w:pPr>
      <w:r>
        <w:rPr>
          <w:b/>
          <w:bCs/>
        </w:rPr>
        <w:t xml:space="preserve">Edge cases.</w:t>
      </w:r>
      <w:r>
        <w:t xml:space="preserve"> </w:t>
      </w:r>
      <w:r>
        <w:t xml:space="preserve">Some airports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GACI during a shock by absorbing diverted traffic (cargo specialists like MEM/ANC/LEJ during COVID; geo-bypass hubs like DOH and IST during 9/11 and the Russia airspace closure). For these, R &gt; 1 and Λ &lt; 0, indicating cumulative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rather than loss. These risers are flagged as a separate fifth analytical category and analysed under RQ4. Airports that do not reach the 90% threshold within the sample window have T treated as right-censored at 2024.</w:t>
      </w:r>
    </w:p>
    <w:p>
      <w:pPr>
        <w:pStyle w:val="BodyText"/>
      </w:pPr>
      <w:r>
        <w:rPr>
          <w:b/>
          <w:bCs/>
        </w:rPr>
        <w:t xml:space="preserve">Centrality-component triangles.</w:t>
      </w:r>
      <w:r>
        <w:t xml:space="preserve"> </w:t>
      </w:r>
      <w:r>
        <w:t xml:space="preserve">The same four-tuple is computed</w:t>
      </w:r>
      <w:r>
        <w:t xml:space="preserve"> </w:t>
      </w:r>
      <w:r>
        <w:rPr>
          <w:i/>
          <w:iCs/>
        </w:rPr>
        <w:t xml:space="preserve">separately</w:t>
      </w:r>
      <w:r>
        <w:t xml:space="preserve"> </w:t>
      </w:r>
      <w:r>
        <w:t xml:space="preserve">for each of the five sub-components of GACI, producing fragility profiles (Λ^Degree, Λ^Eigen, Λ^Close, Λ^Between, Λ^RegImp) that enable RQ3.</w:t>
      </w:r>
    </w:p>
    <w:bookmarkEnd w:id="23"/>
    <w:bookmarkStart w:id="29" w:name="empirical-strategy"/>
    <w:p>
      <w:pPr>
        <w:pStyle w:val="Heading2"/>
      </w:pPr>
      <w:r>
        <w:t xml:space="preserve">4. Empirical Strategy</w:t>
      </w:r>
    </w:p>
    <w:bookmarkStart w:id="24" w:name="computational-pipeline"/>
    <w:p>
      <w:pPr>
        <w:pStyle w:val="Heading3"/>
      </w:pPr>
      <w:r>
        <w:t xml:space="preserve">4.1 Computational pipeline</w:t>
      </w:r>
    </w:p>
    <w:p>
      <w:pPr>
        <w:pStyle w:val="FirstParagraph"/>
      </w:pPr>
      <w:r>
        <w:t xml:space="preserve">For airport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shock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with pre-window [t_s−3, t_s−1] and post-window [t_s, t_s+2]:</w:t>
      </w:r>
    </w:p>
    <w:p>
      <w:pPr>
        <w:pStyle w:val="SourceCode"/>
      </w:pPr>
      <w:r>
        <w:rPr>
          <w:rStyle w:val="VerbatimChar"/>
        </w:rPr>
        <w:t xml:space="preserve">pre       = mean(GACI_i over [t_s−3, t_s−1])</w:t>
      </w:r>
      <w:r>
        <w:br/>
      </w:r>
      <w:r>
        <w:rPr>
          <w:rStyle w:val="VerbatimChar"/>
        </w:rPr>
        <w:t xml:space="preserve">trough    = min(GACI_i over [t_s, t_s+2])</w:t>
      </w:r>
      <w:r>
        <w:br/>
      </w:r>
      <w:r>
        <w:rPr>
          <w:rStyle w:val="VerbatimChar"/>
        </w:rPr>
        <w:t xml:space="preserve">threshold = 0.90 × pre              (90% main; 80% and 95% as sensitivity)</w:t>
      </w:r>
      <w:r>
        <w:br/>
      </w:r>
      <w:r>
        <w:rPr>
          <w:rStyle w:val="VerbatimChar"/>
        </w:rPr>
        <w:t xml:space="preserve">t_rec     = first year t &gt; t_trough with GACI_i(t) ≥ threshold</w:t>
      </w:r>
      <w:r>
        <w:br/>
      </w:r>
      <w:r>
        <w:rPr>
          <w:rStyle w:val="VerbatimChar"/>
        </w:rPr>
        <w:t xml:space="preserve">                                     (right-censored at 2024 if not reached)</w:t>
      </w:r>
      <w:r>
        <w:br/>
      </w:r>
      <w:r>
        <w:br/>
      </w:r>
      <w:r>
        <w:rPr>
          <w:rStyle w:val="VerbatimChar"/>
        </w:rPr>
        <w:t xml:space="preserve">R_i,s = trough / pre</w:t>
      </w:r>
      <w:r>
        <w:br/>
      </w:r>
      <w:r>
        <w:rPr>
          <w:rStyle w:val="VerbatimChar"/>
        </w:rPr>
        <w:t xml:space="preserve">T_i,s = t_rec − t_s</w:t>
      </w:r>
      <w:r>
        <w:br/>
      </w:r>
      <w:r>
        <w:rPr>
          <w:rStyle w:val="VerbatimChar"/>
        </w:rPr>
        <w:t xml:space="preserve">M_i,s = GACI_i(2024) / pre</w:t>
      </w:r>
      <w:r>
        <w:br/>
      </w:r>
      <w:r>
        <w:rPr>
          <w:rStyle w:val="VerbatimChar"/>
        </w:rPr>
        <w:t xml:space="preserve">Λ_i,s = Σ over t in [t_s, t_rec] of max(0, pre − GACI_i(t))</w:t>
      </w:r>
    </w:p>
    <w:bookmarkEnd w:id="24"/>
    <w:bookmarkStart w:id="25" w:name="locked-design-choices"/>
    <w:p>
      <w:pPr>
        <w:pStyle w:val="Heading3"/>
      </w:pPr>
      <w:r>
        <w:t xml:space="preserve">4.2 Locked design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Pre-shock baseline</w:t>
            </w:r>
          </w:p>
        </w:tc>
        <w:tc>
          <w:tcPr/>
          <w:p>
            <w:pPr>
              <w:pStyle w:val="Compact"/>
            </w:pPr>
            <w:r>
              <w:t xml:space="preserve">3-year mean before shock</w:t>
            </w:r>
          </w:p>
        </w:tc>
        <w:tc>
          <w:tcPr/>
          <w:p>
            <w:pPr>
              <w:pStyle w:val="Compact"/>
            </w:pPr>
            <w:r>
              <w:t xml:space="preserve">Reggiani et al. (2015)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threshold</w:t>
            </w:r>
          </w:p>
        </w:tc>
        <w:tc>
          <w:tcPr/>
          <w:p>
            <w:pPr>
              <w:pStyle w:val="Compact"/>
            </w:pPr>
            <w:r>
              <w:t xml:space="preserve">90% main; 80% / 95% sensitivity</w:t>
            </w:r>
          </w:p>
        </w:tc>
        <w:tc>
          <w:tcPr/>
          <w:p>
            <w:pPr>
              <w:pStyle w:val="Compact"/>
            </w:pPr>
            <w:r>
              <w:t xml:space="preserve">Cimellaro et al. (2010, 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Trough detection</w:t>
            </w:r>
          </w:p>
        </w:tc>
        <w:tc>
          <w:tcPr/>
          <w:p>
            <w:pPr>
              <w:pStyle w:val="Compact"/>
            </w:pPr>
            <w:r>
              <w:t xml:space="preserve">Airport-specific min over [t_s, t_s+2]</w:t>
            </w:r>
          </w:p>
        </w:tc>
        <w:tc>
          <w:tcPr/>
          <w:p>
            <w:pPr>
              <w:pStyle w:val="Compact"/>
            </w:pPr>
            <w:r>
              <w:t xml:space="preserve">Janić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Risers (R &gt; 1)</w:t>
            </w:r>
          </w:p>
        </w:tc>
        <w:tc>
          <w:tcPr/>
          <w:p>
            <w:pPr>
              <w:pStyle w:val="Compact"/>
            </w:pPr>
            <w:r>
              <w:t xml:space="preserve">Separate 5th category, RQ4 deep-dive</w:t>
            </w:r>
          </w:p>
        </w:tc>
        <w:tc>
          <w:tcPr/>
          <w:p>
            <w:pPr>
              <w:pStyle w:val="Compact"/>
            </w:pPr>
            <w:r>
              <w:t xml:space="preserve">extends Wandelt et al. (2024)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Overlapping shocks</w:t>
            </w:r>
          </w:p>
        </w:tc>
        <w:tc>
          <w:tcPr/>
          <w:p>
            <w:pPr>
              <w:pStyle w:val="Compact"/>
            </w:pPr>
            <w:r>
              <w:t xml:space="preserve">Main panel uses clean shocks only</w:t>
            </w:r>
          </w:p>
        </w:tc>
        <w:tc>
          <w:tcPr/>
          <w:p>
            <w:pPr>
              <w:pStyle w:val="Compact"/>
            </w:pPr>
            <w:r>
              <w:t xml:space="preserve">this study</w:t>
            </w:r>
          </w:p>
        </w:tc>
      </w:tr>
    </w:tbl>
    <w:bookmarkEnd w:id="25"/>
    <w:bookmarkStart w:id="26" w:name="clean-shock-list-main-panel"/>
    <w:p>
      <w:pPr>
        <w:pStyle w:val="Heading3"/>
      </w:pPr>
      <w:r>
        <w:t xml:space="preserve">4.3 Clean shock list (main panel)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Pre-window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9/11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Geopolitical /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2000–2002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Financial Crisis</w:t>
            </w:r>
          </w:p>
        </w:tc>
        <w:tc>
          <w:tcPr/>
          <w:p>
            <w:pPr>
              <w:pStyle w:val="Compact"/>
            </w:pPr>
            <w:r>
              <w:t xml:space="preserve">2008–09</w:t>
            </w:r>
          </w:p>
        </w:tc>
        <w:tc>
          <w:tcPr/>
          <w:p>
            <w:pPr>
              <w:pStyle w:val="Compact"/>
            </w:pPr>
            <w:r>
              <w:t xml:space="preserve">2005–2007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Ebola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2011–2013</w:t>
            </w:r>
          </w:p>
        </w:tc>
        <w:tc>
          <w:tcPr/>
          <w:p>
            <w:pPr>
              <w:pStyle w:val="Compact"/>
            </w:pPr>
            <w:r>
              <w:t xml:space="preserve">Health /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COVID-19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2017–2019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</w:tbl>
    <w:p>
      <w:pPr>
        <w:pStyle w:val="BodyText"/>
      </w:pPr>
      <w:r>
        <w:t xml:space="preserve">Excluded from the main panel due to overlap with prior shocks: H1N1 2009, ash cloud 2010, Arab Spring 2011, Russia 2014 (all within GFC tail), and Russia 2022 (within COVID recovery). The Russia 2022 case is retained as a</w:t>
      </w:r>
      <w:r>
        <w:t xml:space="preserve"> </w:t>
      </w:r>
      <w:r>
        <w:rPr>
          <w:i/>
          <w:iCs/>
        </w:rPr>
        <w:t xml:space="preserve">qualitative case study for RQ4</w:t>
      </w:r>
      <w:r>
        <w:t xml:space="preserve"> </w:t>
      </w:r>
      <w:r>
        <w:t xml:space="preserve">because it is the canonical observed substitution event (IST and DOH absorbing trans-Siberian detour traffic).</w:t>
      </w:r>
    </w:p>
    <w:bookmarkEnd w:id="26"/>
    <w:bookmarkStart w:id="27" w:name="Xdedd77223882cf2e20371fc89bc8b490d3c17e0"/>
    <w:p>
      <w:pPr>
        <w:pStyle w:val="Heading3"/>
      </w:pPr>
      <w:r>
        <w:t xml:space="preserve">4.4 Identification: airport × shock panel with two-way fixed effects</w:t>
      </w:r>
    </w:p>
    <w:p>
      <w:pPr>
        <w:pStyle w:val="FirstParagraph"/>
      </w:pPr>
      <w:r>
        <w:t xml:space="preserve">Once R/T/M/Λ are computed per airport × shock, we have a panel of 5,428 × 5 =</w:t>
      </w:r>
      <w:r>
        <w:t xml:space="preserve"> </w:t>
      </w:r>
      <w:r>
        <w:rPr>
          <w:b/>
          <w:bCs/>
        </w:rPr>
        <w:t xml:space="preserve">27,140 observations</w:t>
      </w:r>
      <w:r>
        <w:t xml:space="preserve">, with the resilience metrics as outcomes. The core regression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Treatment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pre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s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where γ_i absorbs all time-invariant airport characteristics (geography, city size, infrastructure age) and δ_s absorbs shock-specific severity. The treatment is measured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each shock and varies both across airports and across shocks for the same airport.</w:t>
      </w:r>
    </w:p>
    <w:p>
      <w:pPr>
        <w:pStyle w:val="BodyText"/>
      </w:pPr>
      <w:r>
        <w:t xml:space="preserve">We estimate three complementary specifications: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Inversion as causal</w:t>
      </w:r>
      <w:r>
        <w:t xml:space="preserve"> </w:t>
      </w:r>
      <w:r>
        <w:t xml:space="preserve">— Treatment = log(GACI_pre). β &gt; 0 indicates that a larger hub-state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a larger cumulative loss, within-airport. This is the inversion hypothesis re-cast as a within-airport causal estimate.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Mechanism: cargo readiness</w:t>
      </w:r>
      <w:r>
        <w:t xml:space="preserve"> </w:t>
      </w:r>
      <w:r>
        <w:t xml:space="preserve">— Treatment = pre-shock cargo share of the airport. β &lt; 0 would mean logistics specialization buys resilience — a mechanism behind the inversion.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Borrowed centrality</w:t>
      </w:r>
      <w:r>
        <w:t xml:space="preserve"> </w:t>
      </w:r>
      <w:r>
        <w:t xml:space="preserve">— Treatment = Σⱼ wᵢⱼ × (1 − R_{j,s}), pre-shock-weighted exposure to neighbors’ losses. β &gt; 0 (on R) indicates substitution; β &lt; 0 indicates spillover.</w:t>
      </w:r>
    </w:p>
    <w:p>
      <w:pPr>
        <w:pStyle w:val="FirstParagraph"/>
      </w:pPr>
      <w:r>
        <w:t xml:space="preserve">Together, the three specifications give (i) the causal version of the inversion hypothesis, (ii) one candidate mechanism, and (iii) the network-spillover test. Treatment is in all cases measured pre-shock and therefore mechanically exogenous to the shock’s resilience response.</w:t>
      </w:r>
    </w:p>
    <w:bookmarkEnd w:id="27"/>
    <w:bookmarkStart w:id="28" w:name="covariate-factor-analysis"/>
    <w:p>
      <w:pPr>
        <w:pStyle w:val="Heading3"/>
      </w:pPr>
      <w:r>
        <w:t xml:space="preserve">4.5 Covariate factor analysis</w:t>
      </w:r>
    </w:p>
    <w:p>
      <w:pPr>
        <w:pStyle w:val="FirstParagraph"/>
      </w:pPr>
      <w:r>
        <w:t xml:space="preserve">Airport-level covariates assembled from World Bank (GDP, Logistics Performance Index, Worldwide Governance Indicators), UNWTO (tourism receipts), IATA/ICAO (cargo and international share), and OECD (FDI, business-services GDP share). These are reduced via PCA into four latent factors (business hub-ness, tourism dependence, logistics readiness, governance capacity) and entered as the X_is covariates in the panel regression.</w:t>
      </w:r>
    </w:p>
    <w:bookmarkEnd w:id="28"/>
    <w:bookmarkEnd w:id="29"/>
    <w:bookmarkStart w:id="30" w:name="expected-contributions"/>
    <w:p>
      <w:pPr>
        <w:pStyle w:val="Heading2"/>
      </w:pPr>
      <w:r>
        <w:t xml:space="preserve">5. Expected Contributions</w:t>
      </w:r>
    </w:p>
    <w:p>
      <w:pPr>
        <w:pStyle w:val="FirstParagraph"/>
      </w:pPr>
      <w:r>
        <w:rPr>
          <w:b/>
          <w:bCs/>
        </w:rPr>
        <w:t xml:space="preserve">Conceptual.</w:t>
      </w:r>
      <w:r>
        <w:t xml:space="preserve"> </w:t>
      </w:r>
      <w:r>
        <w:t xml:space="preserve">The project tests whether the connectivity–resilience inversion established in our previous work for one city under a simulated shock extends to the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aviation system observed across</w:t>
      </w:r>
      <w:r>
        <w:t xml:space="preserve"> </w:t>
      </w:r>
      <w:r>
        <w:rPr>
          <w:i/>
          <w:iCs/>
        </w:rPr>
        <w:t xml:space="preserve">multiple real</w:t>
      </w:r>
      <w:r>
        <w:t xml:space="preserve"> </w:t>
      </w:r>
      <w:r>
        <w:t xml:space="preserve">shocks. A positive verdict supports the broader claim that the efficiency–resilience trade-off is not a parochial urban-infrastructure phenomenon but a by-product of network globalisation itself. A shock-conditional verdict is equally informative.</w:t>
      </w:r>
    </w:p>
    <w:p>
      <w:pPr>
        <w:pStyle w:val="BodyText"/>
      </w:pPr>
      <w:r>
        <w:rPr>
          <w:b/>
          <w:bCs/>
        </w:rPr>
        <w:t xml:space="preserve">Methodological.</w:t>
      </w:r>
      <w:r>
        <w:t xml:space="preserve"> </w:t>
      </w:r>
      <w:r>
        <w:t xml:space="preserve">First operationalisation of the resilience triangle as (i) an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response rather than a simulated one, (ii) a</w:t>
      </w:r>
      <w:r>
        <w:t xml:space="preserve"> </w:t>
      </w:r>
      <w:r>
        <w:rPr>
          <w:i/>
          <w:iCs/>
        </w:rPr>
        <w:t xml:space="preserve">multi-year panel</w:t>
      </w:r>
      <w:r>
        <w:t xml:space="preserve"> </w:t>
      </w:r>
      <w:r>
        <w:t xml:space="preserve">rather than a snapshot, (iii) a</w:t>
      </w:r>
      <w:r>
        <w:t xml:space="preserve"> </w:t>
      </w:r>
      <w:r>
        <w:rPr>
          <w:i/>
          <w:iCs/>
        </w:rPr>
        <w:t xml:space="preserve">five-component vector</w:t>
      </w:r>
      <w:r>
        <w:t xml:space="preserve"> </w:t>
      </w:r>
      <w:r>
        <w:t xml:space="preserve">per airport-shock rather than a scalar, and (iv) an</w:t>
      </w:r>
      <w:r>
        <w:t xml:space="preserve"> </w:t>
      </w:r>
      <w:r>
        <w:rPr>
          <w:i/>
          <w:iCs/>
        </w:rPr>
        <w:t xml:space="preserve">outcome variable in a two-way-fixed-effects panel</w:t>
      </w:r>
      <w:r>
        <w:t xml:space="preserve"> </w:t>
      </w:r>
      <w:r>
        <w:t xml:space="preserve">that yields within-airport causal estimates of the inversion. The framework transfers directly to other globally observed networks (trade, power, finance).</w:t>
      </w:r>
    </w:p>
    <w:p>
      <w:pPr>
        <w:pStyle w:val="BodyText"/>
      </w:pPr>
      <w:r>
        <w:rPr>
          <w:b/>
          <w:bCs/>
        </w:rPr>
        <w:t xml:space="preserve">Empirical.</w:t>
      </w:r>
      <w:r>
        <w:t xml:space="preserve"> </w:t>
      </w:r>
      <w:r>
        <w:t xml:space="preserve">Differential fragility sources by shock type — quantified for the first time across centrality components — and clean within-airport causal estimates of the inversion. Russia 2022 case study provides a textbook substitution example.</w:t>
      </w:r>
    </w:p>
    <w:p>
      <w:pPr>
        <w:pStyle w:val="BodyText"/>
      </w:pPr>
      <w:r>
        <w:rPr>
          <w:b/>
          <w:bCs/>
        </w:rPr>
        <w:t xml:space="preserve">Policy.</w:t>
      </w:r>
      <w:r>
        <w:t xml:space="preserve"> </w:t>
      </w:r>
      <w:r>
        <w:t xml:space="preserve">Systemic risk of mega-hub concentration is quantified at the level of passenger and economic exposure. The country/city factors (business / tourism / logistics / governance) that produce</w:t>
      </w:r>
      <w:r>
        <w:t xml:space="preserve"> </w:t>
      </w:r>
      <w:r>
        <w:rPr>
          <w:i/>
          <w:iCs/>
        </w:rPr>
        <w:t xml:space="preserve">frontier-positioned</w:t>
      </w:r>
      <w:r>
        <w:t xml:space="preserve"> </w:t>
      </w:r>
      <w:r>
        <w:t xml:space="preserve">airports (high efficiency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 resilience) are identified, directly relevant for developing-country aviation policy.</w:t>
      </w:r>
    </w:p>
    <w:bookmarkEnd w:id="30"/>
    <w:bookmarkStart w:id="31" w:name="data-pipeline-timeline"/>
    <w:p>
      <w:pPr>
        <w:pStyle w:val="Heading2"/>
      </w:pPr>
      <w:r>
        <w:t xml:space="preserve">6. Data, Pipeline, Timeline</w:t>
      </w:r>
    </w:p>
    <w:p>
      <w:pPr>
        <w:pStyle w:val="FirstParagraph"/>
      </w:pPr>
      <w:r>
        <w:rPr>
          <w:b/>
          <w:bCs/>
        </w:rPr>
        <w:t xml:space="preserve">Internal data (available now).</w:t>
      </w:r>
      <w:r>
        <w:t xml:space="preserve"> </w:t>
      </w:r>
      <w:r>
        <w:t xml:space="preserve">GACI 1996–2024 panel, 5,428 airports × 29 years × 7 metrics. No missing values.</w:t>
      </w:r>
    </w:p>
    <w:p>
      <w:pPr>
        <w:pStyle w:val="BodyText"/>
      </w:pPr>
      <w:r>
        <w:rPr>
          <w:b/>
          <w:bCs/>
        </w:rPr>
        <w:t xml:space="preserve">External covariates (~2–3 weeks).</w:t>
      </w:r>
      <w:r>
        <w:t xml:space="preserve"> </w:t>
      </w:r>
      <w:r>
        <w:t xml:space="preserve">GDP, LPI, WGI (World Bank); tourism (UNWTO); cargo and international share (IATA/ICAO); FDI, business-services GDP share (OECD); shock metadata in-house.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Week 1–4: compute (R, T, M, Λ) for the full 5,428 × 5 × 5 panel and run RQ1, RQ3 (CSV-only). Week 5–8: merge covariates, fit two-way fixed-effects panel for RQ2, run SAR estimation for RQ4. Week 9–12: first draft. Total: 12 weeks to submission.</w:t>
      </w:r>
    </w:p>
    <w:p>
      <w:pPr>
        <w:pStyle w:val="BodyText"/>
      </w:pPr>
      <w:r>
        <w:rPr>
          <w:b/>
          <w:bCs/>
        </w:rPr>
        <w:t xml:space="preserve">Target journals.</w:t>
      </w:r>
      <w:r>
        <w:t xml:space="preserve"> </w:t>
      </w:r>
      <w:r>
        <w:t xml:space="preserve">Nature Communications (first choice — global system × equity × resilience scope); Nature Cities (same venue as our previous work); Nature Sustainability; PNAS; TR-D / TR-A / TR-E as disciplinary fallback.</w:t>
      </w:r>
    </w:p>
    <w:bookmarkEnd w:id="31"/>
    <w:bookmarkStart w:id="32" w:name="key-references"/>
    <w:p>
      <w:pPr>
        <w:pStyle w:val="Heading2"/>
      </w:pPr>
      <w:r>
        <w:t xml:space="preserve">7. Key References</w:t>
      </w:r>
    </w:p>
    <w:p>
      <w:pPr>
        <w:pStyle w:val="Compact"/>
        <w:numPr>
          <w:ilvl w:val="0"/>
          <w:numId w:val="1003"/>
        </w:numPr>
      </w:pPr>
      <w:r>
        <w:t xml:space="preserve">Bruneau, M. et al. (2003). A framework to quantitatively assess and enhance the seismic resilience of communities.</w:t>
      </w:r>
      <w:r>
        <w:t xml:space="preserve"> </w:t>
      </w:r>
      <w:r>
        <w:rPr>
          <w:i/>
          <w:iCs/>
        </w:rPr>
        <w:t xml:space="preserve">Earthquake Spectra</w:t>
      </w:r>
      <w:r>
        <w:t xml:space="preserve">, 19(4), 733–752.</w:t>
      </w:r>
    </w:p>
    <w:p>
      <w:pPr>
        <w:pStyle w:val="Compact"/>
        <w:numPr>
          <w:ilvl w:val="0"/>
          <w:numId w:val="1003"/>
        </w:numPr>
      </w:pPr>
      <w:r>
        <w:t xml:space="preserve">Cheung, T.K.Y., Wong, C.W.H., Zhang, A. (2020). The evolution of aviation network: Global airport connectivity index 2006–2016.</w:t>
      </w:r>
      <w:r>
        <w:t xml:space="preserve"> </w:t>
      </w:r>
      <w:r>
        <w:rPr>
          <w:i/>
          <w:iCs/>
        </w:rPr>
        <w:t xml:space="preserve">Transportation Research Part E</w:t>
      </w:r>
      <w:r>
        <w:t xml:space="preserve">, 133, 101826.</w:t>
      </w:r>
    </w:p>
    <w:p>
      <w:pPr>
        <w:pStyle w:val="Compact"/>
        <w:numPr>
          <w:ilvl w:val="0"/>
          <w:numId w:val="1003"/>
        </w:numPr>
      </w:pPr>
      <w:r>
        <w:t xml:space="preserve">Cimellaro, G.P., Reinhorn, A.M., Bruneau, M. (2010). Framework for analytical quantification of disaster resilience.</w:t>
      </w:r>
      <w:r>
        <w:t xml:space="preserve"> </w:t>
      </w:r>
      <w:r>
        <w:rPr>
          <w:i/>
          <w:iCs/>
        </w:rPr>
        <w:t xml:space="preserve">Engineering Structures</w:t>
      </w:r>
      <w:r>
        <w:t xml:space="preserve">, 32(11), 3639–3649.</w:t>
      </w:r>
    </w:p>
    <w:p>
      <w:pPr>
        <w:pStyle w:val="Compact"/>
        <w:numPr>
          <w:ilvl w:val="0"/>
          <w:numId w:val="1003"/>
        </w:numPr>
      </w:pPr>
      <w:r>
        <w:t xml:space="preserve">Janić, M. (2022). Analysis and modelling of airport resilience, robustness, and vulnerability: impact of COVID-19 pandemic disease.</w:t>
      </w:r>
      <w:r>
        <w:t xml:space="preserve"> </w:t>
      </w:r>
      <w:r>
        <w:rPr>
          <w:i/>
          <w:iCs/>
        </w:rPr>
        <w:t xml:space="preserve">The Aeronautical Journal</w:t>
      </w:r>
      <w:r>
        <w:t xml:space="preserve">, 126(1304), 1924–1953.</w:t>
      </w:r>
    </w:p>
    <w:p>
      <w:pPr>
        <w:pStyle w:val="Compact"/>
        <w:numPr>
          <w:ilvl w:val="0"/>
          <w:numId w:val="1003"/>
        </w:numPr>
      </w:pPr>
      <w:r>
        <w:t xml:space="preserve">Reggiani, A., Nijkamp, P., Lanzi, D. (2015). Transport resilience and vulnerability: the role of connectivity.</w:t>
      </w:r>
      <w:r>
        <w:t xml:space="preserve"> </w:t>
      </w:r>
      <w:r>
        <w:rPr>
          <w:i/>
          <w:iCs/>
        </w:rPr>
        <w:t xml:space="preserve">Transportation Research Part A</w:t>
      </w:r>
      <w:r>
        <w:t xml:space="preserve">, 81, 4–15.</w:t>
      </w:r>
    </w:p>
    <w:p>
      <w:pPr>
        <w:pStyle w:val="Compact"/>
        <w:numPr>
          <w:ilvl w:val="0"/>
          <w:numId w:val="1003"/>
        </w:numPr>
      </w:pPr>
      <w:r>
        <w:t xml:space="preserve">Wandelt, S., Zhang, A., Sun, X. (2024). Global Airport Resilience Index: Towards a comprehensive understanding of air transportation resilience.</w:t>
      </w:r>
      <w:r>
        <w:t xml:space="preserve"> </w:t>
      </w:r>
      <w:r>
        <w:rPr>
          <w:i/>
          <w:iCs/>
        </w:rPr>
        <w:t xml:space="preserve">Transportation Research Part D</w:t>
      </w:r>
      <w:r>
        <w:t xml:space="preserve">, 138, 104796.</w:t>
      </w:r>
    </w:p>
    <w:p>
      <w:pPr>
        <w:pStyle w:val="Compact"/>
        <w:numPr>
          <w:ilvl w:val="0"/>
          <w:numId w:val="1003"/>
        </w:numPr>
      </w:pPr>
      <w:r>
        <w:t xml:space="preserve">Our previous work (under review at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, 2026). Inequality in railway accessibility and resilience across the Tokyo Metropolitan area.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2026-05-15T05:16:19Z</dcterms:created>
  <dcterms:modified xsi:type="dcterms:W3CDTF">2026-05-15T05:16:19Z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