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13F" w:rsidRPr="007C6435" w:rsidRDefault="007C6435">
      <w:pPr>
        <w:pStyle w:val="Heading1"/>
        <w:rPr>
          <w:rFonts w:ascii="Times New Roman" w:hAnsi="Times New Roman" w:cs="Times New Roman"/>
          <w:color w:val="auto"/>
        </w:rPr>
      </w:pPr>
      <w:bookmarkStart w:id="0" w:name="X5bcbb3b53de2687a9b77ce482233eeebcc03ee8"/>
      <w:r w:rsidRPr="007C6435">
        <w:rPr>
          <w:rFonts w:ascii="Times New Roman" w:hAnsi="Times New Roman" w:cs="Times New Roman"/>
          <w:color w:val="auto"/>
        </w:rPr>
        <w:t>Spatial Heterogeneity of Shocks in Global Air Connectivity and Resilience</w:t>
      </w:r>
    </w:p>
    <w:p w:rsidR="003E213F" w:rsidRPr="007C6435" w:rsidRDefault="007C6435">
      <w:pPr>
        <w:rPr>
          <w:rFonts w:ascii="Times New Roman" w:hAnsi="Times New Roman" w:cs="Times New Roman"/>
        </w:rPr>
      </w:pPr>
      <w:bookmarkStart w:id="1" w:name="_GoBack"/>
      <w:bookmarkEnd w:id="1"/>
      <w:r w:rsidRPr="007C6435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3E213F" w:rsidRPr="007C6435" w:rsidRDefault="007C6435">
      <w:pPr>
        <w:pStyle w:val="Heading2"/>
        <w:rPr>
          <w:rFonts w:ascii="Times New Roman" w:hAnsi="Times New Roman" w:cs="Times New Roman"/>
          <w:color w:val="auto"/>
        </w:rPr>
      </w:pPr>
      <w:bookmarkStart w:id="2" w:name="motivation"/>
      <w:r w:rsidRPr="007C6435">
        <w:rPr>
          <w:rFonts w:ascii="Times New Roman" w:hAnsi="Times New Roman" w:cs="Times New Roman"/>
          <w:color w:val="auto"/>
        </w:rPr>
        <w:t>Motivation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>When a global shock disrupts air transport, the economic cost is not evenly distributed across countries — some economies translate aviation disruption into large GDP losses while others absorb the same GACI shock with little damage. The paper documents th</w:t>
      </w:r>
      <w:r w:rsidRPr="007C6435">
        <w:rPr>
          <w:rFonts w:ascii="Times New Roman" w:hAnsi="Times New Roman" w:cs="Times New Roman"/>
        </w:rPr>
        <w:t xml:space="preserve">is spatial heterogeneity, shock by shock, and asks where in the world a unit of aviation disruption hurts the most. The question generalises the connectivity–resilience inversion identified in our previous work (under review at </w:t>
      </w:r>
      <w:r w:rsidRPr="007C6435">
        <w:rPr>
          <w:rFonts w:ascii="Times New Roman" w:hAnsi="Times New Roman" w:cs="Times New Roman"/>
          <w:i/>
          <w:iCs/>
        </w:rPr>
        <w:t>Nature Cities</w:t>
      </w:r>
      <w:r w:rsidRPr="007C6435">
        <w:rPr>
          <w:rFonts w:ascii="Times New Roman" w:hAnsi="Times New Roman" w:cs="Times New Roman"/>
        </w:rPr>
        <w:t>) from one city</w:t>
      </w:r>
      <w:r w:rsidRPr="007C6435">
        <w:rPr>
          <w:rFonts w:ascii="Times New Roman" w:hAnsi="Times New Roman" w:cs="Times New Roman"/>
        </w:rPr>
        <w:t xml:space="preserve"> to the global aviation system, and asks whether the inversion appears in GDP space as well.</w:t>
      </w:r>
    </w:p>
    <w:p w:rsidR="003E213F" w:rsidRPr="007C6435" w:rsidRDefault="007C6435">
      <w:pPr>
        <w:pStyle w:val="BodyText"/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  <w:b/>
          <w:bCs/>
        </w:rPr>
        <w:t>The main question.</w:t>
      </w:r>
      <w:r w:rsidRPr="007C6435">
        <w:rPr>
          <w:rFonts w:ascii="Times New Roman" w:hAnsi="Times New Roman" w:cs="Times New Roman"/>
        </w:rPr>
        <w:t xml:space="preserve"> </w:t>
      </w:r>
      <w:r w:rsidRPr="007C6435">
        <w:rPr>
          <w:rFonts w:ascii="Times New Roman" w:hAnsi="Times New Roman" w:cs="Times New Roman"/>
          <w:i/>
          <w:iCs/>
        </w:rPr>
        <w:t>Does the GACI → GDP conversion rate vary across countries after a shock?</w:t>
      </w:r>
      <w:r w:rsidRPr="007C6435">
        <w:rPr>
          <w:rFonts w:ascii="Times New Roman" w:hAnsi="Times New Roman" w:cs="Times New Roman"/>
        </w:rPr>
        <w:t xml:space="preserve"> Which countries pay the highest economic cost for a unit of aviation di</w:t>
      </w:r>
      <w:r w:rsidRPr="007C6435">
        <w:rPr>
          <w:rFonts w:ascii="Times New Roman" w:hAnsi="Times New Roman" w:cs="Times New Roman"/>
        </w:rPr>
        <w:t>sruption?</w:t>
      </w:r>
    </w:p>
    <w:p w:rsidR="003E213F" w:rsidRPr="007C6435" w:rsidRDefault="007C6435">
      <w:p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3E213F" w:rsidRPr="007C6435" w:rsidRDefault="007C6435">
      <w:pPr>
        <w:pStyle w:val="Heading2"/>
        <w:rPr>
          <w:rFonts w:ascii="Times New Roman" w:hAnsi="Times New Roman" w:cs="Times New Roman"/>
          <w:color w:val="auto"/>
        </w:rPr>
      </w:pPr>
      <w:bookmarkStart w:id="3" w:name="main-analysis"/>
      <w:bookmarkEnd w:id="2"/>
      <w:r w:rsidRPr="007C6435">
        <w:rPr>
          <w:rFonts w:ascii="Times New Roman" w:hAnsi="Times New Roman" w:cs="Times New Roman"/>
          <w:color w:val="auto"/>
        </w:rPr>
        <w:t>Main Analysis</w:t>
      </w:r>
    </w:p>
    <w:p w:rsidR="003E213F" w:rsidRPr="007C6435" w:rsidRDefault="007C6435">
      <w:pPr>
        <w:pStyle w:val="Heading3"/>
        <w:rPr>
          <w:rFonts w:ascii="Times New Roman" w:hAnsi="Times New Roman" w:cs="Times New Roman"/>
          <w:color w:val="auto"/>
        </w:rPr>
      </w:pPr>
      <w:bookmarkStart w:id="4" w:name="specification-1-pooled"/>
      <w:r w:rsidRPr="007C6435">
        <w:rPr>
          <w:rFonts w:ascii="Times New Roman" w:hAnsi="Times New Roman" w:cs="Times New Roman"/>
          <w:color w:val="auto"/>
        </w:rPr>
        <w:t>Specification (1) — Pooled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GDP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</m:oMath>
      </m:oMathPara>
    </w:p>
    <w:p w:rsidR="003E213F" w:rsidRPr="007C6435" w:rsidRDefault="007C643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  <w:i/>
          <w:iCs/>
        </w:rPr>
        <w:t>i</w:t>
      </w:r>
      <w:r w:rsidRPr="007C6435">
        <w:rPr>
          <w:rFonts w:ascii="Times New Roman" w:hAnsi="Times New Roman" w:cs="Times New Roman"/>
        </w:rPr>
        <w:t xml:space="preserve"> = city / airport, </w:t>
      </w:r>
      <w:r w:rsidRPr="007C6435">
        <w:rPr>
          <w:rFonts w:ascii="Times New Roman" w:hAnsi="Times New Roman" w:cs="Times New Roman"/>
          <w:i/>
          <w:iCs/>
        </w:rPr>
        <w:t>e</w:t>
      </w:r>
      <w:r w:rsidRPr="007C6435">
        <w:rPr>
          <w:rFonts w:ascii="Times New Roman" w:hAnsi="Times New Roman" w:cs="Times New Roman"/>
        </w:rPr>
        <w:t xml:space="preserve"> = shock event</w:t>
      </w:r>
    </w:p>
    <w:p w:rsidR="003E213F" w:rsidRPr="007C6435" w:rsidRDefault="007C643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>α = conversion rate between GACI and GDP during shock events</w:t>
      </w:r>
    </w:p>
    <w:p w:rsidR="003E213F" w:rsidRPr="007C6435" w:rsidRDefault="007C6435">
      <w:pPr>
        <w:pStyle w:val="Heading3"/>
        <w:rPr>
          <w:rFonts w:ascii="Times New Roman" w:hAnsi="Times New Roman" w:cs="Times New Roman"/>
          <w:color w:val="auto"/>
        </w:rPr>
      </w:pPr>
      <w:bookmarkStart w:id="5" w:name="specification-2-country-heterogeneous"/>
      <w:bookmarkEnd w:id="4"/>
      <w:r w:rsidRPr="007C6435">
        <w:rPr>
          <w:rFonts w:ascii="Times New Roman" w:hAnsi="Times New Roman" w:cs="Times New Roman"/>
          <w:color w:val="auto"/>
        </w:rPr>
        <w:t>Specification (2) — Country-heterogeneous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GDP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C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countr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>]⋅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</m:oMath>
      </m:oMathPara>
    </w:p>
    <w:p w:rsidR="003E213F" w:rsidRPr="007C6435" w:rsidRDefault="007C6435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>α_C = country-specific conversion rate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 xml:space="preserve">Plotting α_C as a world choropleth — one panel per shock — is the </w:t>
      </w:r>
      <w:r w:rsidRPr="007C6435">
        <w:rPr>
          <w:rFonts w:ascii="Times New Roman" w:hAnsi="Times New Roman" w:cs="Times New Roman"/>
          <w:b/>
          <w:bCs/>
        </w:rPr>
        <w:t>main figure</w:t>
      </w:r>
      <w:r w:rsidRPr="007C6435">
        <w:rPr>
          <w:rFonts w:ascii="Times New Roman" w:hAnsi="Times New Roman" w:cs="Times New Roman"/>
        </w:rPr>
        <w:t>: it visualises which countries pay the highest economic cost for a unit of aviation disruption after each shock.</w:t>
      </w:r>
    </w:p>
    <w:p w:rsidR="003E213F" w:rsidRPr="007C6435" w:rsidRDefault="007C6435">
      <w:pPr>
        <w:pStyle w:val="Heading3"/>
        <w:rPr>
          <w:rFonts w:ascii="Times New Roman" w:hAnsi="Times New Roman" w:cs="Times New Roman"/>
          <w:color w:val="auto"/>
        </w:rPr>
      </w:pPr>
      <w:bookmarkStart w:id="6" w:name="implied-gdp-loss"/>
      <w:bookmarkEnd w:id="5"/>
      <w:r w:rsidRPr="007C6435">
        <w:rPr>
          <w:rFonts w:ascii="Times New Roman" w:hAnsi="Times New Roman" w:cs="Times New Roman"/>
          <w:color w:val="auto"/>
        </w:rPr>
        <w:t>Implied GDP loss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 xml:space="preserve">For each airport-city pair </w:t>
      </w:r>
      <w:r w:rsidRPr="007C6435">
        <w:rPr>
          <w:rFonts w:ascii="Times New Roman" w:hAnsi="Times New Roman" w:cs="Times New Roman"/>
          <w:i/>
          <w:iCs/>
        </w:rPr>
        <w:t>i</w:t>
      </w:r>
      <w:r w:rsidRPr="007C6435">
        <w:rPr>
          <w:rFonts w:ascii="Times New Roman" w:hAnsi="Times New Roman" w:cs="Times New Roman"/>
        </w:rPr>
        <w:t xml:space="preserve"> in each shock </w:t>
      </w:r>
      <w:r w:rsidRPr="007C6435">
        <w:rPr>
          <w:rFonts w:ascii="Times New Roman" w:hAnsi="Times New Roman" w:cs="Times New Roman"/>
          <w:i/>
          <w:iCs/>
        </w:rPr>
        <w:t>e</w:t>
      </w:r>
      <w:r w:rsidRPr="007C6435">
        <w:rPr>
          <w:rFonts w:ascii="Times New Roman" w:hAnsi="Times New Roman" w:cs="Times New Roman"/>
        </w:rPr>
        <w:t>:</w:t>
      </w:r>
    </w:p>
    <w:p w:rsidR="003E213F" w:rsidRPr="007C6435" w:rsidRDefault="007C6435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GDP loss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</m:oMath>
      </m:oMathPara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 xml:space="preserve">Reported per event so that the actual GDP </w:t>
      </w:r>
      <w:r w:rsidRPr="007C6435">
        <w:rPr>
          <w:rFonts w:ascii="Times New Roman" w:hAnsi="Times New Roman" w:cs="Times New Roman"/>
        </w:rPr>
        <w:t>loss attributable to GACI disruption can be read off event by event.</w:t>
      </w:r>
    </w:p>
    <w:p w:rsidR="003E213F" w:rsidRPr="007C6435" w:rsidRDefault="007C6435">
      <w:pPr>
        <w:pStyle w:val="Heading3"/>
        <w:rPr>
          <w:rFonts w:ascii="Times New Roman" w:hAnsi="Times New Roman" w:cs="Times New Roman"/>
          <w:color w:val="auto"/>
        </w:rPr>
      </w:pPr>
      <w:bookmarkStart w:id="7" w:name="Xfff1bf59e463e12eee77fc477397ba01cd51881"/>
      <w:bookmarkEnd w:id="6"/>
      <w:r w:rsidRPr="007C6435">
        <w:rPr>
          <w:rFonts w:ascii="Times New Roman" w:hAnsi="Times New Roman" w:cs="Times New Roman"/>
          <w:color w:val="auto"/>
        </w:rPr>
        <w:lastRenderedPageBreak/>
        <w:t>Inversion test: are high-GACI airports more sensitive?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GDP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pre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</m:oMath>
      </m:oMathPara>
    </w:p>
    <w:p w:rsidR="003E213F" w:rsidRPr="007C6435" w:rsidRDefault="007C643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>β &gt; 0: higher pre-shock GACI ↔ larger GDP loss per unit of GAC</w:t>
      </w:r>
      <w:r w:rsidRPr="007C6435">
        <w:rPr>
          <w:rFonts w:ascii="Times New Roman" w:hAnsi="Times New Roman" w:cs="Times New Roman"/>
        </w:rPr>
        <w:t>I</w:t>
      </w:r>
    </w:p>
    <w:p w:rsidR="003E213F" w:rsidRPr="007C6435" w:rsidRDefault="007C643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>β = 0: uniform conversion across hub sizes</w:t>
      </w:r>
    </w:p>
    <w:p w:rsidR="003E213F" w:rsidRPr="007C6435" w:rsidRDefault="007C643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>β &lt; 0: higher-GACI airports’ economies absorb the shock more easily</w:t>
      </w:r>
    </w:p>
    <w:p w:rsidR="003E213F" w:rsidRPr="007C6435" w:rsidRDefault="007C6435">
      <w:p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3E213F" w:rsidRPr="007C6435" w:rsidRDefault="007C6435">
      <w:pPr>
        <w:pStyle w:val="Heading2"/>
        <w:rPr>
          <w:rFonts w:ascii="Times New Roman" w:hAnsi="Times New Roman" w:cs="Times New Roman"/>
          <w:color w:val="auto"/>
        </w:rPr>
      </w:pPr>
      <w:bookmarkStart w:id="8" w:name="X3d0bc0cab826a85841b57c3da1601c7a949de38"/>
      <w:bookmarkEnd w:id="3"/>
      <w:bookmarkEnd w:id="7"/>
      <w:r w:rsidRPr="007C6435">
        <w:rPr>
          <w:rFonts w:ascii="Times New Roman" w:hAnsi="Times New Roman" w:cs="Times New Roman"/>
          <w:color w:val="auto"/>
        </w:rPr>
        <w:t>Additional Analysis: Resilience Trade-off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>We define airport resilience following the resilience-triangle lineage (Bruneau et al., 2003; Cimellaro et al., 2010; Janić, 2022) applied to GACI dynamics around each shock. The resilience measure is computed from the GACI series and captures the depth, s</w:t>
      </w:r>
      <w:r w:rsidRPr="007C6435">
        <w:rPr>
          <w:rFonts w:ascii="Times New Roman" w:hAnsi="Times New Roman" w:cs="Times New Roman"/>
        </w:rPr>
        <w:t>peed, and persistence of the post-shock dip.</w:t>
      </w:r>
    </w:p>
    <w:p w:rsidR="007C6435" w:rsidRPr="007C6435" w:rsidRDefault="007C6435" w:rsidP="007C6435">
      <w:pPr>
        <w:pStyle w:val="BodyText"/>
        <w:rPr>
          <w:rFonts w:ascii="Times New Roman" w:hAnsi="Times New Roman" w:cs="Times New Roman"/>
          <w:lang w:eastAsia="ko-KR"/>
        </w:rPr>
      </w:pPr>
      <w:r w:rsidRPr="007C6435">
        <w:rPr>
          <w:rFonts w:ascii="Times New Roman" w:hAnsi="Times New Roman" w:cs="Times New Roman"/>
          <w:lang w:eastAsia="ko-KR"/>
        </w:rPr>
        <w:t>(We can also consider resilience as</w:t>
      </w:r>
      <w:r w:rsidRPr="007C6435">
        <w:rPr>
          <w:rFonts w:ascii="Times New Roman" w:eastAsia="Segoe UI Emoji" w:hAnsi="Times New Roman" w:cs="Times New Roman"/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7C6435" w:rsidRPr="007C6435" w:rsidTr="0036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Symbol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What it asks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Better when…</w:t>
            </w:r>
          </w:p>
        </w:tc>
      </w:tr>
      <w:tr w:rsidR="007C6435" w:rsidRPr="007C6435" w:rsidTr="00361704"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Robustness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  <w:i/>
                <w:iCs/>
              </w:rPr>
              <w:t>How much was kept at the worst moment?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R closer to 1</w:t>
            </w:r>
          </w:p>
        </w:tc>
      </w:tr>
      <w:tr w:rsidR="007C6435" w:rsidRPr="007C6435" w:rsidTr="00361704"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Rapidity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  <w:i/>
                <w:iCs/>
              </w:rPr>
              <w:t>How fast did the airport bounce back?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T closer to 0</w:t>
            </w:r>
          </w:p>
        </w:tc>
      </w:tr>
      <w:tr w:rsidR="007C6435" w:rsidRPr="007C6435" w:rsidTr="00361704"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  <w:i/>
                <w:iCs/>
              </w:rPr>
              <w:t>Did the airport return to its old normal?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M closer to 1</w:t>
            </w:r>
          </w:p>
        </w:tc>
      </w:tr>
      <w:tr w:rsidR="007C6435" w:rsidRPr="007C6435" w:rsidTr="00361704"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  <w:b/>
                <w:bCs/>
              </w:rPr>
              <w:t>Λ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Triangle area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  <w:i/>
                <w:iCs/>
              </w:rPr>
              <w:t>What was the cumulative loss in GACI-years?</w:t>
            </w:r>
          </w:p>
        </w:tc>
        <w:tc>
          <w:tcPr>
            <w:tcW w:w="1980" w:type="dxa"/>
          </w:tcPr>
          <w:p w:rsidR="007C6435" w:rsidRPr="007C6435" w:rsidRDefault="007C6435" w:rsidP="0036170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Λ closer to 0</w:t>
            </w:r>
          </w:p>
        </w:tc>
      </w:tr>
    </w:tbl>
    <w:p w:rsidR="007C6435" w:rsidRPr="007C6435" w:rsidRDefault="007C6435" w:rsidP="007C6435">
      <w:pPr>
        <w:pStyle w:val="SourceCode"/>
        <w:rPr>
          <w:rFonts w:ascii="Times New Roman" w:hAnsi="Times New Roman" w:cs="Times New Roman"/>
        </w:rPr>
      </w:pPr>
      <w:r w:rsidRPr="007C6435">
        <w:rPr>
          <w:rStyle w:val="VerbatimChar"/>
          <w:rFonts w:ascii="Times New Roman" w:hAnsi="Times New Roman" w:cs="Times New Roman"/>
        </w:rPr>
        <w:t>pre       = mean(</w:t>
      </w:r>
      <w:proofErr w:type="spellStart"/>
      <w:r w:rsidRPr="007C6435">
        <w:rPr>
          <w:rStyle w:val="VerbatimChar"/>
          <w:rFonts w:ascii="Times New Roman" w:hAnsi="Times New Roman" w:cs="Times New Roman"/>
        </w:rPr>
        <w:t>GACI_i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 over [t_s−3, t_s−1])</w:t>
      </w:r>
      <w:r w:rsidRPr="007C6435">
        <w:rPr>
          <w:rFonts w:ascii="Times New Roman" w:hAnsi="Times New Roman" w:cs="Times New Roman"/>
        </w:rPr>
        <w:br/>
      </w:r>
      <w:r w:rsidRPr="007C6435">
        <w:rPr>
          <w:rStyle w:val="VerbatimChar"/>
          <w:rFonts w:ascii="Times New Roman" w:hAnsi="Times New Roman" w:cs="Times New Roman"/>
        </w:rPr>
        <w:t>trough    = min(</w:t>
      </w:r>
      <w:proofErr w:type="spellStart"/>
      <w:r w:rsidRPr="007C6435">
        <w:rPr>
          <w:rStyle w:val="VerbatimChar"/>
          <w:rFonts w:ascii="Times New Roman" w:hAnsi="Times New Roman" w:cs="Times New Roman"/>
        </w:rPr>
        <w:t>GACI_i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 over [</w:t>
      </w:r>
      <w:proofErr w:type="spellStart"/>
      <w:r w:rsidRPr="007C6435">
        <w:rPr>
          <w:rStyle w:val="VerbatimChar"/>
          <w:rFonts w:ascii="Times New Roman" w:hAnsi="Times New Roman" w:cs="Times New Roman"/>
        </w:rPr>
        <w:t>t_s</w:t>
      </w:r>
      <w:proofErr w:type="spellEnd"/>
      <w:r w:rsidRPr="007C6435">
        <w:rPr>
          <w:rStyle w:val="VerbatimChar"/>
          <w:rFonts w:ascii="Times New Roman" w:hAnsi="Times New Roman" w:cs="Times New Roman"/>
        </w:rPr>
        <w:t>, t_s+2])</w:t>
      </w:r>
      <w:r w:rsidRPr="007C6435">
        <w:rPr>
          <w:rFonts w:ascii="Times New Roman" w:hAnsi="Times New Roman" w:cs="Times New Roman"/>
        </w:rPr>
        <w:br/>
      </w:r>
      <w:r w:rsidRPr="007C6435">
        <w:rPr>
          <w:rStyle w:val="VerbatimChar"/>
          <w:rFonts w:ascii="Times New Roman" w:hAnsi="Times New Roman" w:cs="Times New Roman"/>
        </w:rPr>
        <w:t>threshold = 0.90 × pre              (90% main; 80% and 95% as sensitivity)</w:t>
      </w:r>
      <w:r w:rsidRPr="007C6435">
        <w:rPr>
          <w:rFonts w:ascii="Times New Roman" w:hAnsi="Times New Roman" w:cs="Times New Roman"/>
        </w:rPr>
        <w:br/>
      </w:r>
      <w:proofErr w:type="spellStart"/>
      <w:r w:rsidRPr="007C6435">
        <w:rPr>
          <w:rStyle w:val="VerbatimChar"/>
          <w:rFonts w:ascii="Times New Roman" w:hAnsi="Times New Roman" w:cs="Times New Roman"/>
        </w:rPr>
        <w:t>t_rec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     = first year t &gt; </w:t>
      </w:r>
      <w:proofErr w:type="spellStart"/>
      <w:r w:rsidRPr="007C6435">
        <w:rPr>
          <w:rStyle w:val="VerbatimChar"/>
          <w:rFonts w:ascii="Times New Roman" w:hAnsi="Times New Roman" w:cs="Times New Roman"/>
        </w:rPr>
        <w:t>t_trough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 with </w:t>
      </w:r>
      <w:proofErr w:type="spellStart"/>
      <w:r w:rsidRPr="007C6435">
        <w:rPr>
          <w:rStyle w:val="VerbatimChar"/>
          <w:rFonts w:ascii="Times New Roman" w:hAnsi="Times New Roman" w:cs="Times New Roman"/>
        </w:rPr>
        <w:t>GACI_i</w:t>
      </w:r>
      <w:proofErr w:type="spellEnd"/>
      <w:r w:rsidRPr="007C6435">
        <w:rPr>
          <w:rStyle w:val="VerbatimChar"/>
          <w:rFonts w:ascii="Times New Roman" w:hAnsi="Times New Roman" w:cs="Times New Roman"/>
        </w:rPr>
        <w:t>(t) ≥ threshold</w:t>
      </w:r>
      <w:r w:rsidRPr="007C6435">
        <w:rPr>
          <w:rFonts w:ascii="Times New Roman" w:hAnsi="Times New Roman" w:cs="Times New Roman"/>
        </w:rPr>
        <w:br/>
      </w:r>
      <w:r w:rsidRPr="007C6435">
        <w:rPr>
          <w:rStyle w:val="VerbatimChar"/>
          <w:rFonts w:ascii="Times New Roman" w:hAnsi="Times New Roman" w:cs="Times New Roman"/>
        </w:rPr>
        <w:t xml:space="preserve">                                     (right-censored at 2024 if not reached)</w:t>
      </w:r>
      <w:r w:rsidRPr="007C6435">
        <w:rPr>
          <w:rFonts w:ascii="Times New Roman" w:hAnsi="Times New Roman" w:cs="Times New Roman"/>
        </w:rPr>
        <w:br/>
      </w:r>
      <w:proofErr w:type="spellStart"/>
      <w:r w:rsidRPr="007C6435">
        <w:rPr>
          <w:rStyle w:val="VerbatimChar"/>
          <w:rFonts w:ascii="Times New Roman" w:hAnsi="Times New Roman" w:cs="Times New Roman"/>
        </w:rPr>
        <w:t>R_i,s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 = trough / pre</w:t>
      </w:r>
      <w:r w:rsidRPr="007C6435">
        <w:rPr>
          <w:rFonts w:ascii="Times New Roman" w:hAnsi="Times New Roman" w:cs="Times New Roman"/>
        </w:rPr>
        <w:br/>
      </w:r>
      <w:proofErr w:type="spellStart"/>
      <w:r w:rsidRPr="007C6435">
        <w:rPr>
          <w:rStyle w:val="VerbatimChar"/>
          <w:rFonts w:ascii="Times New Roman" w:hAnsi="Times New Roman" w:cs="Times New Roman"/>
        </w:rPr>
        <w:t>T_</w:t>
      </w:r>
      <w:proofErr w:type="gramStart"/>
      <w:r w:rsidRPr="007C6435">
        <w:rPr>
          <w:rStyle w:val="VerbatimChar"/>
          <w:rFonts w:ascii="Times New Roman" w:hAnsi="Times New Roman" w:cs="Times New Roman"/>
        </w:rPr>
        <w:t>i,s</w:t>
      </w:r>
      <w:proofErr w:type="spellEnd"/>
      <w:proofErr w:type="gramEnd"/>
      <w:r w:rsidRPr="007C6435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7C6435">
        <w:rPr>
          <w:rStyle w:val="VerbatimChar"/>
          <w:rFonts w:ascii="Times New Roman" w:hAnsi="Times New Roman" w:cs="Times New Roman"/>
        </w:rPr>
        <w:t>t_rec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 − </w:t>
      </w:r>
      <w:proofErr w:type="spellStart"/>
      <w:r w:rsidRPr="007C6435">
        <w:rPr>
          <w:rStyle w:val="VerbatimChar"/>
          <w:rFonts w:ascii="Times New Roman" w:hAnsi="Times New Roman" w:cs="Times New Roman"/>
        </w:rPr>
        <w:t>t_s</w:t>
      </w:r>
      <w:proofErr w:type="spellEnd"/>
      <w:r w:rsidRPr="007C6435">
        <w:rPr>
          <w:rFonts w:ascii="Times New Roman" w:hAnsi="Times New Roman" w:cs="Times New Roman"/>
        </w:rPr>
        <w:br/>
      </w:r>
      <w:proofErr w:type="spellStart"/>
      <w:r w:rsidRPr="007C6435">
        <w:rPr>
          <w:rStyle w:val="VerbatimChar"/>
          <w:rFonts w:ascii="Times New Roman" w:hAnsi="Times New Roman" w:cs="Times New Roman"/>
        </w:rPr>
        <w:t>M_i,s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7C6435">
        <w:rPr>
          <w:rStyle w:val="VerbatimChar"/>
          <w:rFonts w:ascii="Times New Roman" w:hAnsi="Times New Roman" w:cs="Times New Roman"/>
        </w:rPr>
        <w:t>GACI_i</w:t>
      </w:r>
      <w:proofErr w:type="spellEnd"/>
      <w:r w:rsidRPr="007C6435">
        <w:rPr>
          <w:rStyle w:val="VerbatimChar"/>
          <w:rFonts w:ascii="Times New Roman" w:hAnsi="Times New Roman" w:cs="Times New Roman"/>
        </w:rPr>
        <w:t>(2024) / pre</w:t>
      </w:r>
      <w:r w:rsidRPr="007C6435">
        <w:rPr>
          <w:rFonts w:ascii="Times New Roman" w:hAnsi="Times New Roman" w:cs="Times New Roman"/>
        </w:rPr>
        <w:br/>
      </w:r>
      <w:proofErr w:type="spellStart"/>
      <w:r w:rsidRPr="007C6435">
        <w:rPr>
          <w:rStyle w:val="VerbatimChar"/>
          <w:rFonts w:ascii="Times New Roman" w:hAnsi="Times New Roman" w:cs="Times New Roman"/>
        </w:rPr>
        <w:t>Λ_i,s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 = Σ over t in [</w:t>
      </w:r>
      <w:proofErr w:type="spellStart"/>
      <w:r w:rsidRPr="007C6435">
        <w:rPr>
          <w:rStyle w:val="VerbatimChar"/>
          <w:rFonts w:ascii="Times New Roman" w:hAnsi="Times New Roman" w:cs="Times New Roman"/>
        </w:rPr>
        <w:t>t_s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7C6435">
        <w:rPr>
          <w:rStyle w:val="VerbatimChar"/>
          <w:rFonts w:ascii="Times New Roman" w:hAnsi="Times New Roman" w:cs="Times New Roman"/>
        </w:rPr>
        <w:t>t_rec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] of max(0, pre − </w:t>
      </w:r>
      <w:proofErr w:type="spellStart"/>
      <w:r w:rsidRPr="007C6435">
        <w:rPr>
          <w:rStyle w:val="VerbatimChar"/>
          <w:rFonts w:ascii="Times New Roman" w:hAnsi="Times New Roman" w:cs="Times New Roman"/>
        </w:rPr>
        <w:t>GACI_i</w:t>
      </w:r>
      <w:proofErr w:type="spellEnd"/>
      <w:r w:rsidRPr="007C6435">
        <w:rPr>
          <w:rStyle w:val="VerbatimChar"/>
          <w:rFonts w:ascii="Times New Roman" w:hAnsi="Times New Roman" w:cs="Times New Roman"/>
        </w:rPr>
        <w:t>(t))</w:t>
      </w:r>
      <w:r w:rsidRPr="007C6435">
        <w:rPr>
          <w:rStyle w:val="VerbatimChar"/>
          <w:rFonts w:ascii="Times New Roman" w:hAnsi="Times New Roman" w:cs="Times New Roman"/>
        </w:rPr>
        <w:t xml:space="preserve"> .. </w:t>
      </w:r>
      <w:proofErr w:type="spellStart"/>
      <w:r w:rsidRPr="007C6435">
        <w:rPr>
          <w:rStyle w:val="VerbatimChar"/>
          <w:rFonts w:ascii="Times New Roman" w:hAnsi="Times New Roman" w:cs="Times New Roman"/>
        </w:rPr>
        <w:t>sth</w:t>
      </w:r>
      <w:proofErr w:type="spellEnd"/>
      <w:r w:rsidRPr="007C6435">
        <w:rPr>
          <w:rStyle w:val="VerbatimChar"/>
          <w:rFonts w:ascii="Times New Roman" w:hAnsi="Times New Roman" w:cs="Times New Roman"/>
        </w:rPr>
        <w:t xml:space="preserve"> like this! </w:t>
      </w:r>
    </w:p>
    <w:p w:rsidR="003E213F" w:rsidRPr="007C6435" w:rsidRDefault="007C6435">
      <w:pPr>
        <w:pStyle w:val="Heading3"/>
        <w:rPr>
          <w:rFonts w:ascii="Times New Roman" w:hAnsi="Times New Roman" w:cs="Times New Roman"/>
          <w:color w:val="auto"/>
        </w:rPr>
      </w:pPr>
      <w:bookmarkStart w:id="9" w:name="specification-3"/>
      <w:r w:rsidRPr="007C6435">
        <w:rPr>
          <w:rFonts w:ascii="Times New Roman" w:hAnsi="Times New Roman" w:cs="Times New Roman"/>
          <w:color w:val="auto"/>
        </w:rPr>
        <w:t>Specification (3)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Resilience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ε</m:t>
          </m:r>
        </m:oMath>
      </m:oMathPara>
    </w:p>
    <w:p w:rsidR="003E213F" w:rsidRPr="007C6435" w:rsidRDefault="007C6435">
      <w:pPr>
        <w:pStyle w:val="Heading3"/>
        <w:rPr>
          <w:rFonts w:ascii="Times New Roman" w:hAnsi="Times New Roman" w:cs="Times New Roman"/>
          <w:color w:val="auto"/>
        </w:rPr>
      </w:pPr>
      <w:bookmarkStart w:id="10" w:name="specification-4"/>
      <w:bookmarkEnd w:id="9"/>
      <w:r w:rsidRPr="007C6435">
        <w:rPr>
          <w:rFonts w:ascii="Times New Roman" w:hAnsi="Times New Roman" w:cs="Times New Roman"/>
          <w:color w:val="auto"/>
        </w:rPr>
        <w:t>Specification (4)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GDP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Resilience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ε</m:t>
          </m:r>
        </m:oMath>
      </m:oMathPara>
    </w:p>
    <w:p w:rsidR="003E213F" w:rsidRPr="007C6435" w:rsidRDefault="007C6435">
      <w:pPr>
        <w:pStyle w:val="Heading3"/>
        <w:rPr>
          <w:rFonts w:ascii="Times New Roman" w:hAnsi="Times New Roman" w:cs="Times New Roman"/>
          <w:color w:val="auto"/>
        </w:rPr>
      </w:pPr>
      <w:bookmarkStart w:id="11" w:name="specification-5"/>
      <w:bookmarkEnd w:id="10"/>
      <w:r w:rsidRPr="007C6435">
        <w:rPr>
          <w:rFonts w:ascii="Times New Roman" w:hAnsi="Times New Roman" w:cs="Times New Roman"/>
          <w:color w:val="auto"/>
        </w:rPr>
        <w:lastRenderedPageBreak/>
        <w:t>Specification (5)</w:t>
      </w:r>
    </w:p>
    <w:p w:rsidR="003E213F" w:rsidRPr="007C6435" w:rsidRDefault="007C643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GDP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C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country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>]⋅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Resilience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ε</m:t>
          </m:r>
        </m:oMath>
      </m:oMathPara>
    </w:p>
    <w:p w:rsidR="003E213F" w:rsidRPr="007C6435" w:rsidRDefault="007C6435">
      <w:p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3E213F" w:rsidRPr="007C6435" w:rsidRDefault="007C6435">
      <w:pPr>
        <w:pStyle w:val="Heading2"/>
        <w:rPr>
          <w:rFonts w:ascii="Times New Roman" w:hAnsi="Times New Roman" w:cs="Times New Roman"/>
          <w:color w:val="auto"/>
        </w:rPr>
      </w:pPr>
      <w:bookmarkStart w:id="12" w:name="clean-shock-list"/>
      <w:bookmarkEnd w:id="8"/>
      <w:bookmarkEnd w:id="11"/>
      <w:r w:rsidRPr="007C6435">
        <w:rPr>
          <w:rFonts w:ascii="Times New Roman" w:hAnsi="Times New Roman" w:cs="Times New Roman"/>
          <w:color w:val="auto"/>
        </w:rPr>
        <w:t>Clean Shock 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3"/>
        <w:gridCol w:w="1056"/>
        <w:gridCol w:w="1390"/>
        <w:gridCol w:w="2349"/>
      </w:tblGrid>
      <w:tr w:rsidR="007C6435" w:rsidRPr="007C6435" w:rsidTr="003E2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Shock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Pre-window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Type</w:t>
            </w:r>
          </w:p>
        </w:tc>
      </w:tr>
      <w:tr w:rsidR="007C6435" w:rsidRPr="007C6435"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9/11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2001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1998–2000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Geopolitical / security</w:t>
            </w:r>
          </w:p>
        </w:tc>
      </w:tr>
      <w:tr w:rsidR="007C6435" w:rsidRPr="007C6435"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SARS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2000–2002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Health</w:t>
            </w:r>
          </w:p>
        </w:tc>
      </w:tr>
      <w:tr w:rsidR="007C6435" w:rsidRPr="007C6435"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Global Financial Crisis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2008–09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2005–2007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Financial</w:t>
            </w:r>
          </w:p>
        </w:tc>
      </w:tr>
      <w:tr w:rsidR="007C6435" w:rsidRPr="007C6435"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Ebola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2011–2013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Health / regional</w:t>
            </w:r>
          </w:p>
        </w:tc>
      </w:tr>
      <w:tr w:rsidR="007C6435" w:rsidRPr="007C6435"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COVID-19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2017–2019</w:t>
            </w:r>
          </w:p>
        </w:tc>
        <w:tc>
          <w:tcPr>
            <w:tcW w:w="0" w:type="auto"/>
          </w:tcPr>
          <w:p w:rsidR="003E213F" w:rsidRPr="007C6435" w:rsidRDefault="007C6435">
            <w:pPr>
              <w:pStyle w:val="Compact"/>
              <w:rPr>
                <w:rFonts w:ascii="Times New Roman" w:hAnsi="Times New Roman" w:cs="Times New Roman"/>
              </w:rPr>
            </w:pPr>
            <w:r w:rsidRPr="007C6435">
              <w:rPr>
                <w:rFonts w:ascii="Times New Roman" w:hAnsi="Times New Roman" w:cs="Times New Roman"/>
              </w:rPr>
              <w:t>Health</w:t>
            </w:r>
          </w:p>
        </w:tc>
      </w:tr>
    </w:tbl>
    <w:p w:rsidR="003E213F" w:rsidRPr="007C6435" w:rsidRDefault="007C6435">
      <w:pPr>
        <w:pStyle w:val="BodyText"/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>Pre-shock baselines are the three-year mean over the pre-window.</w:t>
      </w:r>
    </w:p>
    <w:p w:rsidR="007C6435" w:rsidRPr="007C6435" w:rsidRDefault="007C6435" w:rsidP="007C6435">
      <w:pPr>
        <w:pStyle w:val="Heading2"/>
        <w:rPr>
          <w:rFonts w:ascii="Times New Roman" w:hAnsi="Times New Roman" w:cs="Times New Roman"/>
          <w:color w:val="auto"/>
        </w:rPr>
      </w:pPr>
      <w:r w:rsidRPr="007C6435">
        <w:rPr>
          <w:rFonts w:ascii="Times New Roman" w:hAnsi="Times New Roman" w:cs="Times New Roman"/>
          <w:color w:val="auto"/>
        </w:rPr>
        <w:t xml:space="preserve">What to do? </w:t>
      </w:r>
    </w:p>
    <w:p w:rsidR="007C6435" w:rsidRPr="007C6435" w:rsidRDefault="007C6435">
      <w:pPr>
        <w:pStyle w:val="BodyText"/>
        <w:rPr>
          <w:rFonts w:ascii="Times New Roman" w:hAnsi="Times New Roman" w:cs="Times New Roman" w:hint="eastAsia"/>
          <w:b/>
          <w:lang w:eastAsia="ko-KR"/>
        </w:rPr>
      </w:pPr>
      <w:r w:rsidRPr="007C6435">
        <w:rPr>
          <w:rFonts w:ascii="Times New Roman" w:hAnsi="Times New Roman" w:cs="Times New Roman"/>
          <w:b/>
          <w:lang w:eastAsia="ko-KR"/>
        </w:rPr>
        <w:t>We need to find a Good IV so that we can prove causality.</w:t>
      </w:r>
    </w:p>
    <w:p w:rsidR="003E213F" w:rsidRPr="007C6435" w:rsidRDefault="007C6435">
      <w:p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3E213F" w:rsidRPr="007C6435" w:rsidRDefault="007C6435">
      <w:pPr>
        <w:pStyle w:val="Heading2"/>
        <w:rPr>
          <w:rFonts w:ascii="Times New Roman" w:hAnsi="Times New Roman" w:cs="Times New Roman"/>
          <w:color w:val="auto"/>
        </w:rPr>
      </w:pPr>
      <w:bookmarkStart w:id="13" w:name="key-references"/>
      <w:bookmarkEnd w:id="12"/>
      <w:r w:rsidRPr="007C6435">
        <w:rPr>
          <w:rFonts w:ascii="Times New Roman" w:hAnsi="Times New Roman" w:cs="Times New Roman"/>
          <w:color w:val="auto"/>
        </w:rPr>
        <w:t>Key References</w:t>
      </w:r>
    </w:p>
    <w:p w:rsidR="003E213F" w:rsidRPr="007C6435" w:rsidRDefault="007C6435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 xml:space="preserve">Bruneau, M. et al. (2003). A framework to quantitatively assess and enhance the seismic resilience of communities. </w:t>
      </w:r>
      <w:r w:rsidRPr="007C6435">
        <w:rPr>
          <w:rFonts w:ascii="Times New Roman" w:hAnsi="Times New Roman" w:cs="Times New Roman"/>
          <w:i/>
          <w:iCs/>
        </w:rPr>
        <w:t>Earthquake Spectra</w:t>
      </w:r>
      <w:r w:rsidRPr="007C6435">
        <w:rPr>
          <w:rFonts w:ascii="Times New Roman" w:hAnsi="Times New Roman" w:cs="Times New Roman"/>
        </w:rPr>
        <w:t>, 19(4), 733–752.</w:t>
      </w:r>
    </w:p>
    <w:p w:rsidR="003E213F" w:rsidRPr="007C6435" w:rsidRDefault="007C6435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 xml:space="preserve">Cheung, T.K.Y., Wong, C.W.H., Zhang, A. (2020). The evolution of aviation network: Global airport connectivity index 2006–2016. </w:t>
      </w:r>
      <w:r w:rsidRPr="007C6435">
        <w:rPr>
          <w:rFonts w:ascii="Times New Roman" w:hAnsi="Times New Roman" w:cs="Times New Roman"/>
          <w:i/>
          <w:iCs/>
        </w:rPr>
        <w:t>Transportation Research Part E</w:t>
      </w:r>
      <w:r w:rsidRPr="007C6435">
        <w:rPr>
          <w:rFonts w:ascii="Times New Roman" w:hAnsi="Times New Roman" w:cs="Times New Roman"/>
        </w:rPr>
        <w:t>, 133, 101826.</w:t>
      </w:r>
    </w:p>
    <w:p w:rsidR="003E213F" w:rsidRPr="007C6435" w:rsidRDefault="007C6435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>Cimellaro, G.P., Reinhorn, A.M., Bruneau, M. (2010). Framework for analytical quant</w:t>
      </w:r>
      <w:r w:rsidRPr="007C6435">
        <w:rPr>
          <w:rFonts w:ascii="Times New Roman" w:hAnsi="Times New Roman" w:cs="Times New Roman"/>
        </w:rPr>
        <w:t xml:space="preserve">ification of disaster resilience. </w:t>
      </w:r>
      <w:r w:rsidRPr="007C6435">
        <w:rPr>
          <w:rFonts w:ascii="Times New Roman" w:hAnsi="Times New Roman" w:cs="Times New Roman"/>
          <w:i/>
          <w:iCs/>
        </w:rPr>
        <w:t>Engineering Structures</w:t>
      </w:r>
      <w:r w:rsidRPr="007C6435">
        <w:rPr>
          <w:rFonts w:ascii="Times New Roman" w:hAnsi="Times New Roman" w:cs="Times New Roman"/>
        </w:rPr>
        <w:t>, 32(11), 3639–3649.</w:t>
      </w:r>
    </w:p>
    <w:p w:rsidR="003E213F" w:rsidRPr="007C6435" w:rsidRDefault="007C6435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 xml:space="preserve">Janić, M. (2022). Analysis and modelling of airport resilience, robustness, and vulnerability: impact of COVID-19 pandemic disease. </w:t>
      </w:r>
      <w:r w:rsidRPr="007C6435">
        <w:rPr>
          <w:rFonts w:ascii="Times New Roman" w:hAnsi="Times New Roman" w:cs="Times New Roman"/>
          <w:i/>
          <w:iCs/>
        </w:rPr>
        <w:t>The Aeronautical Journal</w:t>
      </w:r>
      <w:r w:rsidRPr="007C6435">
        <w:rPr>
          <w:rFonts w:ascii="Times New Roman" w:hAnsi="Times New Roman" w:cs="Times New Roman"/>
        </w:rPr>
        <w:t>, 126(1304), 1924–1953.</w:t>
      </w:r>
    </w:p>
    <w:p w:rsidR="003E213F" w:rsidRPr="007C6435" w:rsidRDefault="007C6435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C6435">
        <w:rPr>
          <w:rFonts w:ascii="Times New Roman" w:hAnsi="Times New Roman" w:cs="Times New Roman"/>
        </w:rPr>
        <w:t xml:space="preserve">Wandelt, S., Zhang, A., Sun, X. (2024). Global Airport Resilience Index: Towards a comprehensive understanding of air transportation resilience. </w:t>
      </w:r>
      <w:r w:rsidRPr="007C6435">
        <w:rPr>
          <w:rFonts w:ascii="Times New Roman" w:hAnsi="Times New Roman" w:cs="Times New Roman"/>
          <w:i/>
          <w:iCs/>
        </w:rPr>
        <w:t>Transportation Research Part D</w:t>
      </w:r>
      <w:r w:rsidRPr="007C6435">
        <w:rPr>
          <w:rFonts w:ascii="Times New Roman" w:hAnsi="Times New Roman" w:cs="Times New Roman"/>
        </w:rPr>
        <w:t>, 138, 104796.</w:t>
      </w:r>
      <w:bookmarkEnd w:id="0"/>
      <w:bookmarkEnd w:id="13"/>
    </w:p>
    <w:sectPr w:rsidR="003E213F" w:rsidRPr="007C643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0B8AF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1E95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213F"/>
    <w:rsid w:val="003E213F"/>
    <w:rsid w:val="007C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749B"/>
  <w15:docId w15:val="{9AA9BB3B-B092-4C0A-B999-1F211AF1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YOO SUNBIN</cp:lastModifiedBy>
  <cp:revision>2</cp:revision>
  <dcterms:created xsi:type="dcterms:W3CDTF">2026-05-15T07:37:00Z</dcterms:created>
  <dcterms:modified xsi:type="dcterms:W3CDTF">2026-05-15T07:47:00Z</dcterms:modified>
</cp:coreProperties>
</file>