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21D" w:rsidRDefault="00E52D32">
      <w:pPr>
        <w:spacing w:after="60"/>
      </w:pPr>
      <w:r>
        <w:rPr>
          <w:b/>
          <w:bCs/>
          <w:color w:val="2E75B6"/>
          <w:sz w:val="24"/>
          <w:szCs w:val="24"/>
        </w:rPr>
        <w:t>Research Plan</w:t>
      </w:r>
    </w:p>
    <w:p w:rsidR="007D621D" w:rsidRDefault="00E52D32">
      <w:pPr>
        <w:spacing w:after="60"/>
      </w:pPr>
      <w:r>
        <w:rPr>
          <w:b/>
          <w:bCs/>
          <w:color w:val="1F3864"/>
          <w:sz w:val="44"/>
          <w:szCs w:val="44"/>
        </w:rPr>
        <w:t>Trade Openness and Global Air Connectivity</w:t>
      </w:r>
    </w:p>
    <w:p w:rsidR="007D621D" w:rsidRDefault="00E52D32">
      <w:pPr>
        <w:spacing w:after="60"/>
      </w:pPr>
      <w:r>
        <w:rPr>
          <w:i/>
          <w:iCs/>
          <w:color w:val="595959"/>
          <w:sz w:val="24"/>
          <w:szCs w:val="24"/>
        </w:rPr>
        <w:t>Evidence from a Country-Level Panel of the Global Air Connectivity Index (GACI), 1996–2024</w:t>
      </w:r>
    </w:p>
    <w:p w:rsidR="007D621D" w:rsidRDefault="00E52D32">
      <w:pPr>
        <w:pBdr>
          <w:bottom w:val="single" w:sz="6" w:space="4" w:color="2E75B6"/>
        </w:pBdr>
        <w:spacing w:after="200"/>
      </w:pPr>
      <w:proofErr w:type="gramStart"/>
      <w:r>
        <w:rPr>
          <w:color w:val="595959"/>
          <w:sz w:val="20"/>
          <w:szCs w:val="20"/>
        </w:rPr>
        <w:t xml:space="preserve">Draft </w:t>
      </w:r>
      <w:r w:rsidR="00F84D9C">
        <w:rPr>
          <w:color w:val="595959"/>
          <w:sz w:val="20"/>
          <w:szCs w:val="20"/>
        </w:rPr>
        <w:t xml:space="preserve"> 20260604</w:t>
      </w:r>
      <w:proofErr w:type="gramEnd"/>
    </w:p>
    <w:p w:rsidR="007D621D" w:rsidRDefault="00E52D32">
      <w:pPr>
        <w:pStyle w:val="Heading1"/>
      </w:pPr>
      <w:r>
        <w:t>1. Background and Motivation</w:t>
      </w:r>
    </w:p>
    <w:p w:rsidR="007D621D" w:rsidRDefault="00E52D32">
      <w:pPr>
        <w:spacing w:after="120" w:line="276" w:lineRule="auto"/>
      </w:pPr>
      <w:r>
        <w:t xml:space="preserve">Air transport networks are both a driver and a mirror of economic integration. The </w:t>
      </w:r>
      <w:r>
        <w:rPr>
          <w:b/>
          <w:bCs/>
        </w:rPr>
        <w:t>Global Air Connectivity Index (GACI)</w:t>
      </w:r>
      <w:r>
        <w:t xml:space="preserve"> </w:t>
      </w:r>
      <w:proofErr w:type="spellStart"/>
      <w:r>
        <w:t>summarises</w:t>
      </w:r>
      <w:proofErr w:type="spellEnd"/>
      <w:r>
        <w:t xml:space="preserve"> an airport’s position in the world air network as a composite of degree, total seat capacity, eigenvector centrality, </w:t>
      </w:r>
      <w:proofErr w:type="spellStart"/>
      <w:r>
        <w:t>normali</w:t>
      </w:r>
      <w:r>
        <w:t>sed</w:t>
      </w:r>
      <w:proofErr w:type="spellEnd"/>
      <w:r>
        <w:t xml:space="preserve"> closeness and betweenness, and regional importance. The working dataset is an unbalanced panel of roughly 5,400 airports across 17 sub-regions over 1996–2024 (29 years), with about 2,250 airports observed in every year.</w:t>
      </w:r>
    </w:p>
    <w:p w:rsidR="007D621D" w:rsidRDefault="00E52D32">
      <w:pPr>
        <w:spacing w:after="120" w:line="276" w:lineRule="auto"/>
      </w:pPr>
      <w:r>
        <w:t>The team’s existing pipeline has</w:t>
      </w:r>
      <w:r>
        <w:t xml:space="preserve"> examined GACI in relation to </w:t>
      </w:r>
      <w:r>
        <w:rPr>
          <w:b/>
          <w:bCs/>
        </w:rPr>
        <w:t>economic growth, the Russia–Ukraine war, the Belt and Road Initiative, and international fuel prices</w:t>
      </w:r>
      <w:r>
        <w:t xml:space="preserve">. This project opens a distinct line on </w:t>
      </w:r>
      <w:r>
        <w:rPr>
          <w:b/>
          <w:bCs/>
        </w:rPr>
        <w:t>trade openness</w:t>
      </w:r>
      <w:r>
        <w:t>, which is conceptually adjacent to growth but mechanistically separate:</w:t>
      </w:r>
      <w:r>
        <w:t xml:space="preserve"> the question is not whether richer economies are more connected, but whether </w:t>
      </w:r>
      <w:r>
        <w:rPr>
          <w:i/>
          <w:iCs/>
        </w:rPr>
        <w:t xml:space="preserve">trade </w:t>
      </w:r>
      <w:proofErr w:type="spellStart"/>
      <w:r>
        <w:rPr>
          <w:i/>
          <w:iCs/>
        </w:rPr>
        <w:t>liberalisation</w:t>
      </w:r>
      <w:proofErr w:type="spellEnd"/>
      <w:r>
        <w:rPr>
          <w:i/>
          <w:iCs/>
        </w:rPr>
        <w:t xml:space="preserve"> and trade intensity reshape a country’s air-network position</w:t>
      </w:r>
      <w:r>
        <w:t>.</w:t>
      </w:r>
    </w:p>
    <w:p w:rsidR="007D621D" w:rsidRDefault="00E52D32">
      <w:pPr>
        <w:pStyle w:val="Heading1"/>
      </w:pPr>
      <w:r>
        <w:t>2. Research Question and Contribution</w:t>
      </w:r>
    </w:p>
    <w:p w:rsidR="007D621D" w:rsidRDefault="00E52D32">
      <w:pPr>
        <w:spacing w:after="120" w:line="276" w:lineRule="auto"/>
      </w:pPr>
      <w:r>
        <w:rPr>
          <w:b/>
          <w:bCs/>
        </w:rPr>
        <w:t xml:space="preserve">Core question. </w:t>
      </w:r>
      <w:r>
        <w:t>Does greater trade openness raise and rest</w:t>
      </w:r>
      <w:r>
        <w:t>ructure a country’s air connectivity, and through what channel?</w:t>
      </w:r>
    </w:p>
    <w:p w:rsidR="007D621D" w:rsidRDefault="00E52D32">
      <w:pPr>
        <w:spacing w:after="120" w:line="276" w:lineRule="auto"/>
      </w:pPr>
      <w:r>
        <w:rPr>
          <w:b/>
          <w:bCs/>
        </w:rPr>
        <w:t>Sub-questions.</w:t>
      </w:r>
    </w:p>
    <w:p w:rsidR="007D621D" w:rsidRDefault="00E52D32">
      <w:pPr>
        <w:pStyle w:val="ListParagraph"/>
        <w:numPr>
          <w:ilvl w:val="0"/>
          <w:numId w:val="2"/>
        </w:numPr>
        <w:spacing w:after="80" w:line="276" w:lineRule="auto"/>
      </w:pPr>
      <w:r>
        <w:t>Does openness raise the level of national connectivity (total GACI), or mainly its structure (international degree, hub/transit centrality)?</w:t>
      </w:r>
    </w:p>
    <w:p w:rsidR="007D621D" w:rsidRDefault="00E52D32">
      <w:pPr>
        <w:pStyle w:val="ListParagraph"/>
        <w:numPr>
          <w:ilvl w:val="0"/>
          <w:numId w:val="2"/>
        </w:numPr>
        <w:spacing w:after="80" w:line="276" w:lineRule="auto"/>
      </w:pPr>
      <w:r>
        <w:t>Is the effect driven by de facto tra</w:t>
      </w:r>
      <w:r>
        <w:t>de intensity (trade/GDP) or by de jure policy (tariff cuts, trade agreements)?</w:t>
      </w:r>
    </w:p>
    <w:p w:rsidR="007D621D" w:rsidRDefault="00E52D32">
      <w:pPr>
        <w:pStyle w:val="ListParagraph"/>
        <w:numPr>
          <w:ilvl w:val="0"/>
          <w:numId w:val="2"/>
        </w:numPr>
        <w:spacing w:after="80" w:line="276" w:lineRule="auto"/>
      </w:pPr>
      <w:r>
        <w:t>Does the relationship run primarily through air-cargo logistics, through business-travel facilitation, or both?</w:t>
      </w:r>
    </w:p>
    <w:p w:rsidR="007D621D" w:rsidRDefault="00E52D32">
      <w:pPr>
        <w:spacing w:after="120" w:line="276" w:lineRule="auto"/>
      </w:pPr>
      <w:r>
        <w:rPr>
          <w:b/>
          <w:bCs/>
        </w:rPr>
        <w:t xml:space="preserve">Contribution / differentiation. </w:t>
      </w:r>
      <w:r>
        <w:t>To avoid being a re-run of the gr</w:t>
      </w:r>
      <w:r>
        <w:t>owth paper, the design (</w:t>
      </w:r>
      <w:proofErr w:type="spellStart"/>
      <w:r>
        <w:t>i</w:t>
      </w:r>
      <w:proofErr w:type="spellEnd"/>
      <w:r>
        <w:t xml:space="preserve">) isolates the </w:t>
      </w:r>
      <w:r>
        <w:rPr>
          <w:i/>
          <w:iCs/>
        </w:rPr>
        <w:t>trade-facilitation channel</w:t>
      </w:r>
      <w:r>
        <w:t xml:space="preserve"> conditional on growth, and (ii) decomposes GACI into its centrality components, testing whether openness shifts a country from a domestically oriented to a transit-hub network position—an o</w:t>
      </w:r>
      <w:r>
        <w:t>utcome the growth study cannot speak to.</w:t>
      </w:r>
    </w:p>
    <w:p w:rsidR="007D621D" w:rsidRDefault="00E52D32">
      <w:pPr>
        <w:pStyle w:val="Heading1"/>
      </w:pPr>
      <w:r>
        <w:t>3. Data</w:t>
      </w:r>
    </w:p>
    <w:p w:rsidR="007D621D" w:rsidRDefault="00E52D32">
      <w:pPr>
        <w:pStyle w:val="Heading2"/>
      </w:pPr>
      <w:r>
        <w:t>3.1 Connectivity (dependent variable)</w:t>
      </w:r>
    </w:p>
    <w:p w:rsidR="007D621D" w:rsidRDefault="00F84D9C">
      <w:pPr>
        <w:spacing w:after="120" w:line="276" w:lineRule="auto"/>
      </w:pPr>
      <w:r>
        <w:t>We aggregate GACI as country-level indicators, such 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D62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Aggregation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r>
              <w:rPr>
                <w:b/>
                <w:bCs/>
                <w:color w:val="FFFFFF"/>
                <w:sz w:val="20"/>
                <w:szCs w:val="20"/>
              </w:rPr>
              <w:t>Concept it captures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GACI_sum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Total national air connectivity (recommended baseline DV)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GACI_topHub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Gateway / primary-hub strength (hub-concentration hypotheses)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GACI_mean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Average connectivity per airport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Capacity_sum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N_airports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Network volume and size (volume-channel checks)</w:t>
            </w:r>
          </w:p>
        </w:tc>
      </w:tr>
    </w:tbl>
    <w:p w:rsidR="007D621D" w:rsidRDefault="00E52D32">
      <w:pPr>
        <w:spacing w:before="80" w:after="160"/>
      </w:pPr>
      <w:r>
        <w:rPr>
          <w:i/>
          <w:iCs/>
        </w:rPr>
        <w:t xml:space="preserve">Note: </w:t>
      </w:r>
      <w:r>
        <w:t xml:space="preserve">GACI is a </w:t>
      </w:r>
      <w:proofErr w:type="spellStart"/>
      <w:r>
        <w:t>normalised</w:t>
      </w:r>
      <w:proofErr w:type="spellEnd"/>
      <w:r>
        <w:t xml:space="preserve">, relative centrality index, so the COVID-19 shock is muted in </w:t>
      </w:r>
      <w:proofErr w:type="spellStart"/>
      <w:r>
        <w:t>GACI_sum</w:t>
      </w:r>
      <w:proofErr w:type="spellEnd"/>
      <w:r>
        <w:t xml:space="preserve"> (~7% dip, 2019→2021) but stark in seat capacity. Use Capacity for the volume channel and GACI for the network-position channel—these answer different questions.</w:t>
      </w:r>
    </w:p>
    <w:p w:rsidR="007D621D" w:rsidRDefault="00E52D32">
      <w:pPr>
        <w:pStyle w:val="Heading2"/>
      </w:pPr>
      <w:r>
        <w:t>3.2 Trade openness (key regressor / treatment)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00"/>
        <w:gridCol w:w="4260"/>
      </w:tblGrid>
      <w:tr w:rsidR="007D62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F84D9C">
            <w:pPr>
              <w:spacing w:line="252" w:lineRule="auto"/>
            </w:pPr>
            <w:r>
              <w:rPr>
                <w:rFonts w:hint="eastAsia"/>
              </w:rPr>
              <w:t>(</w:t>
            </w:r>
            <w:r>
              <w:t>1) Trade Intensity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Trade/GDP = (X+M)/GDP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Standard openness baseline; small-economy bias; reverse-causal with connectivity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F84D9C">
            <w:pPr>
              <w:spacing w:line="252" w:lineRule="auto"/>
            </w:pPr>
            <w:r>
              <w:rPr>
                <w:rFonts w:hint="eastAsia"/>
              </w:rPr>
              <w:t>(</w:t>
            </w:r>
            <w:r>
              <w:t>2) Trade Volume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Trade volume (X+M)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Captures size, not openness; use per-capita or with country FE, or reframe as flows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4D9C" w:rsidRDefault="00F84D9C">
            <w:pPr>
              <w:spacing w:line="252" w:lineRule="auto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 xml:space="preserve">3) Tariff </w:t>
            </w:r>
            <w:r>
              <w:rPr>
                <w:rFonts w:hint="eastAsia"/>
              </w:rPr>
              <w:t>(</w:t>
            </w:r>
            <w:r>
              <w:t>Not sure)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Average applied / MFN tariff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Policy stance; cleaner for identification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F84D9C">
            <w:pPr>
              <w:spacing w:line="252" w:lineRule="auto"/>
            </w:pPr>
            <w:r>
              <w:rPr>
                <w:sz w:val="20"/>
                <w:szCs w:val="20"/>
              </w:rPr>
              <w:t xml:space="preserve">(4) Staggered DID 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WTO accession (Article XII)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4D9C" w:rsidRDefault="00F84D9C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Staggered DID.</w:t>
            </w:r>
          </w:p>
          <w:p w:rsidR="007D621D" w:rsidRDefault="00F84D9C">
            <w:pPr>
              <w:spacing w:line="252" w:lineRule="auto"/>
            </w:pPr>
            <w:r>
              <w:rPr>
                <w:sz w:val="20"/>
                <w:szCs w:val="20"/>
              </w:rPr>
              <w:t>But,</w:t>
            </w:r>
            <w:r w:rsidR="00E52D32">
              <w:rPr>
                <w:sz w:val="20"/>
                <w:szCs w:val="20"/>
              </w:rPr>
              <w:t xml:space="preserve"> most countries already members by 1996</w:t>
            </w:r>
          </w:p>
        </w:tc>
      </w:tr>
    </w:tbl>
    <w:p w:rsidR="007D621D" w:rsidRDefault="00E52D32">
      <w:pPr>
        <w:pStyle w:val="Heading1"/>
      </w:pPr>
      <w:r>
        <w:t>4. Identification Strategy</w:t>
      </w:r>
    </w:p>
    <w:p w:rsidR="007D621D" w:rsidRDefault="00E52D32">
      <w:pPr>
        <w:spacing w:after="120" w:line="276" w:lineRule="auto"/>
      </w:pPr>
      <w:r>
        <w:t>Openness an</w:t>
      </w:r>
      <w:r>
        <w:t xml:space="preserve">d connectivity reinforce each other (better links facilitate trade; more trade pulls in routes) and both co-move with growth. The plan therefore uses </w:t>
      </w:r>
      <w:r>
        <w:rPr>
          <w:b/>
          <w:bCs/>
        </w:rPr>
        <w:t>two complementary identification strategies for the same relationship</w:t>
      </w:r>
      <w:r>
        <w:t>—not two separate studies. Strategy A</w:t>
      </w:r>
      <w:r>
        <w:t xml:space="preserve"> </w:t>
      </w:r>
      <w:proofErr w:type="spellStart"/>
      <w:r>
        <w:t>maximises</w:t>
      </w:r>
      <w:proofErr w:type="spellEnd"/>
      <w:r>
        <w:t xml:space="preserve"> external validity; Strategy B </w:t>
      </w:r>
      <w:proofErr w:type="spellStart"/>
      <w:r>
        <w:t>maximises</w:t>
      </w:r>
      <w:proofErr w:type="spellEnd"/>
      <w:r>
        <w:t xml:space="preserve"> causal cleanliness.</w:t>
      </w:r>
    </w:p>
    <w:p w:rsidR="007D621D" w:rsidRDefault="00E52D32">
      <w:pPr>
        <w:pStyle w:val="Heading2"/>
      </w:pPr>
      <w:r>
        <w:t>4.1 Strategy A</w:t>
      </w:r>
      <w:r w:rsidR="00F84D9C">
        <w:t>:</w:t>
      </w:r>
      <w:r>
        <w:t xml:space="preserve"> Continuous openness panel</w:t>
      </w:r>
    </w:p>
    <w:p w:rsidR="007D621D" w:rsidRDefault="00E52D32">
      <w:pPr>
        <w:spacing w:after="120" w:line="276" w:lineRule="auto"/>
      </w:pPr>
      <w:r>
        <w:t xml:space="preserve">Country-year two-way fixed-effects panel with continuous openness. Because reverse causality survives FE, identification is strengthened with </w:t>
      </w:r>
      <w:r>
        <w:rPr>
          <w:b/>
          <w:bCs/>
        </w:rPr>
        <w:t>dynamic panel system GMM</w:t>
      </w:r>
      <w:r>
        <w:t xml:space="preserve"> (Blundell–Bond) and/or a </w:t>
      </w:r>
      <w:r>
        <w:rPr>
          <w:b/>
          <w:bCs/>
        </w:rPr>
        <w:t>geography-based instrument</w:t>
      </w:r>
      <w:r>
        <w:t xml:space="preserve"> for predicted trade (Frankel–Romer style).</w:t>
      </w:r>
    </w:p>
    <w:p w:rsidR="007D621D" w:rsidRDefault="00E52D32">
      <w:pPr>
        <w:spacing w:after="120" w:line="276" w:lineRule="auto"/>
      </w:pPr>
      <w:r>
        <w:rPr>
          <w:i/>
          <w:iCs/>
        </w:rPr>
        <w:t xml:space="preserve">Baseline:  </w:t>
      </w:r>
      <w:proofErr w:type="spellStart"/>
      <w:r>
        <w:rPr>
          <w:i/>
          <w:iCs/>
        </w:rPr>
        <w:t>GACI_it</w:t>
      </w:r>
      <w:proofErr w:type="spellEnd"/>
      <w:r>
        <w:rPr>
          <w:i/>
          <w:iCs/>
        </w:rPr>
        <w:t xml:space="preserve"> = α_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λ_t</w:t>
      </w:r>
      <w:proofErr w:type="spellEnd"/>
      <w:r>
        <w:rPr>
          <w:i/>
          <w:iCs/>
        </w:rPr>
        <w:t xml:space="preserve"> + β · </w:t>
      </w:r>
      <w:proofErr w:type="spellStart"/>
      <w:r>
        <w:rPr>
          <w:i/>
          <w:iCs/>
        </w:rPr>
        <w:t>Openness_it</w:t>
      </w:r>
      <w:proofErr w:type="spellEnd"/>
      <w:r>
        <w:rPr>
          <w:i/>
          <w:iCs/>
        </w:rPr>
        <w:t xml:space="preserve"> + γ · </w:t>
      </w:r>
      <w:proofErr w:type="spellStart"/>
      <w:r>
        <w:rPr>
          <w:i/>
          <w:iCs/>
        </w:rPr>
        <w:t>X_it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ε_it</w:t>
      </w:r>
      <w:proofErr w:type="spellEnd"/>
      <w:r>
        <w:t xml:space="preserve">   where α_</w:t>
      </w:r>
      <w:proofErr w:type="spellStart"/>
      <w:r>
        <w:t>i</w:t>
      </w:r>
      <w:proofErr w:type="spellEnd"/>
      <w:r>
        <w:t xml:space="preserve">, </w:t>
      </w:r>
      <w:proofErr w:type="spellStart"/>
      <w:r>
        <w:t>λ_t</w:t>
      </w:r>
      <w:proofErr w:type="spellEnd"/>
      <w:r>
        <w:t xml:space="preserve"> are country and year fixed effects and </w:t>
      </w:r>
      <w:proofErr w:type="spellStart"/>
      <w:r>
        <w:t>X_it</w:t>
      </w:r>
      <w:proofErr w:type="spellEnd"/>
      <w:r>
        <w:t xml:space="preserve"> includes</w:t>
      </w:r>
      <w:r>
        <w:t xml:space="preserve"> log GDP and population.</w:t>
      </w:r>
    </w:p>
    <w:p w:rsidR="00F84D9C" w:rsidRDefault="00F84D9C">
      <w:pPr>
        <w:spacing w:after="120" w:line="276" w:lineRule="auto"/>
        <w:rPr>
          <w:rFonts w:hint="eastAsia"/>
        </w:rPr>
      </w:pPr>
      <w:r w:rsidRPr="00F84D9C">
        <w:rPr>
          <w:rFonts w:hint="eastAsia"/>
          <w:highlight w:val="yellow"/>
        </w:rPr>
        <w:t>W</w:t>
      </w:r>
      <w:r w:rsidRPr="00F84D9C">
        <w:rPr>
          <w:highlight w:val="yellow"/>
        </w:rPr>
        <w:t>e need to find a good IV!</w:t>
      </w:r>
      <w:r>
        <w:t xml:space="preserve"> </w:t>
      </w:r>
    </w:p>
    <w:p w:rsidR="007D621D" w:rsidRDefault="00E52D32">
      <w:pPr>
        <w:pStyle w:val="Heading2"/>
      </w:pPr>
      <w:r>
        <w:t>4.2 Strategy B</w:t>
      </w:r>
      <w:r w:rsidR="00F84D9C">
        <w:t>:</w:t>
      </w:r>
      <w:r>
        <w:t xml:space="preserve"> Staggered DID on </w:t>
      </w:r>
      <w:proofErr w:type="spellStart"/>
      <w:r w:rsidR="00F84D9C">
        <w:t>EVENTS</w:t>
      </w:r>
    </w:p>
    <w:p w:rsidR="007D621D" w:rsidRDefault="00E52D32">
      <w:pPr>
        <w:spacing w:after="120" w:line="276" w:lineRule="auto"/>
      </w:pPr>
      <w:proofErr w:type="spellEnd"/>
      <w:r>
        <w:t xml:space="preserve">Discrete </w:t>
      </w:r>
      <w:r>
        <w:t xml:space="preserve">events provide cleaner variation. </w:t>
      </w:r>
      <w:r>
        <w:rPr>
          <w:b/>
          <w:bCs/>
        </w:rPr>
        <w:t>FTA entry into force</w:t>
      </w:r>
      <w:r>
        <w:t xml:space="preserve"> is the preferred treatment: it is frequent within 1996–2024, includes major economies (EU enlargement 2004/07, ASEAN–China 2010, KORUS 2012, CPTPP 2018, USMCA 2020, RCEP 2022), and — being bilateral — </w:t>
      </w:r>
      <w:r>
        <w:lastRenderedPageBreak/>
        <w:t>maps naturally onto the air network.</w:t>
      </w:r>
    </w:p>
    <w:p w:rsidR="007D621D" w:rsidRDefault="00E52D3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WTO </w:t>
      </w:r>
      <w:r w:rsidR="00F84D9C">
        <w:rPr>
          <w:b/>
          <w:bCs/>
        </w:rPr>
        <w:t>Entry</w:t>
      </w:r>
      <w:r>
        <w:rPr>
          <w:b/>
          <w:bCs/>
        </w:rPr>
        <w:t xml:space="preserve">: </w:t>
      </w:r>
      <w:r>
        <w:t>China’s 2001 accession is large and mid-sample (5-year pre-period), suitable for a stand-alone event study; the broad WTO-accession DID is not used because the treated pool is thin and skewed to small economies.</w:t>
      </w:r>
    </w:p>
    <w:p w:rsidR="007D621D" w:rsidRDefault="00E52D32">
      <w:pPr>
        <w:pStyle w:val="Heading2"/>
      </w:pPr>
      <w:r>
        <w:t>4.3 Outcome decomposition</w:t>
      </w:r>
    </w:p>
    <w:p w:rsidR="007D621D" w:rsidRDefault="00E52D32">
      <w:pPr>
        <w:spacing w:after="120" w:line="276" w:lineRule="auto"/>
      </w:pPr>
      <w:r>
        <w:t>Beyond total GACI,</w:t>
      </w:r>
      <w:r>
        <w:t xml:space="preserve"> each centrality component (degree, eigenvector, betweenness, closeness) and seat capacity are run as separate outcomes to distinguish a level effect (more connectivity) from a structural effect (becoming a transit hub).</w:t>
      </w:r>
    </w:p>
    <w:p w:rsidR="007D621D" w:rsidRDefault="00E52D32">
      <w:pPr>
        <w:pStyle w:val="Heading1"/>
      </w:pPr>
      <w:r>
        <w:t>5. Identification Threats and Robus</w:t>
      </w:r>
      <w:r>
        <w:t>tness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D62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Reverse causality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System GMM; geography IV; DID on plausibly exogenous policy timing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Parallel trends (DID)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Event-study leads/lags; not-yet-treated controls; honest-DID sensitivity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EU-accession confound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Drop or separately control 2004/2007 EU entrants whose FTA and EU timing coincide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Cargo vs passenger channel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GACI is largely a passenger network; discuss belly-hold cargo and business-travel channels; restrict to cargo-relevant flows where possible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Normalisation</w:t>
            </w:r>
            <w:proofErr w:type="spellEnd"/>
            <w:r>
              <w:rPr>
                <w:sz w:val="20"/>
                <w:szCs w:val="20"/>
              </w:rPr>
              <w:t xml:space="preserve"> of GACI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Report both GACI (structure) and capacity (volume) outcomes</w:t>
            </w:r>
          </w:p>
        </w:tc>
      </w:tr>
      <w:tr w:rsidR="007D621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Crosswalk coverage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21D" w:rsidRDefault="00E52D32">
            <w:pPr>
              <w:spacing w:line="252" w:lineRule="auto"/>
            </w:pPr>
            <w:r>
              <w:rPr>
                <w:sz w:val="20"/>
                <w:szCs w:val="20"/>
              </w:rPr>
              <w:t>Reconcile the ~5% unmatched airports; verify accession/FTA dates against official databases</w:t>
            </w:r>
          </w:p>
        </w:tc>
      </w:tr>
    </w:tbl>
    <w:p w:rsidR="007D621D" w:rsidRDefault="00E52D32">
      <w:pPr>
        <w:pStyle w:val="Heading1"/>
      </w:pPr>
      <w:r>
        <w:t>6. Work Plan</w:t>
      </w:r>
    </w:p>
    <w:p w:rsidR="007D621D" w:rsidRDefault="000D05BA">
      <w:pPr>
        <w:pStyle w:val="ListParagraph"/>
        <w:numPr>
          <w:ilvl w:val="0"/>
          <w:numId w:val="3"/>
        </w:numPr>
        <w:spacing w:after="80" w:line="276" w:lineRule="auto"/>
      </w:pPr>
      <w:r>
        <w:t>Data cleaning (country-level GACI?)</w:t>
      </w:r>
    </w:p>
    <w:p w:rsidR="007D621D" w:rsidRDefault="00E52D32">
      <w:pPr>
        <w:pStyle w:val="ListParagraph"/>
        <w:numPr>
          <w:ilvl w:val="0"/>
          <w:numId w:val="3"/>
        </w:numPr>
        <w:spacing w:after="80" w:line="276" w:lineRule="auto"/>
      </w:pPr>
      <w:r>
        <w:t>Merge openness data: WDI (trade/GDP, tariffs) for Strategy A; WTO RTA dates for Strategy B.</w:t>
      </w:r>
    </w:p>
    <w:p w:rsidR="007D621D" w:rsidRPr="000D05BA" w:rsidRDefault="00E52D32">
      <w:pPr>
        <w:pStyle w:val="ListParagraph"/>
        <w:numPr>
          <w:ilvl w:val="0"/>
          <w:numId w:val="3"/>
        </w:numPr>
        <w:spacing w:after="80" w:line="276" w:lineRule="auto"/>
        <w:rPr>
          <w:b/>
        </w:rPr>
      </w:pPr>
      <w:r>
        <w:t xml:space="preserve">Strategy A estimation: TWFE baseline → system GMM → </w:t>
      </w:r>
      <w:r w:rsidRPr="000D05BA">
        <w:rPr>
          <w:b/>
        </w:rPr>
        <w:t xml:space="preserve">IV; component </w:t>
      </w:r>
      <w:bookmarkStart w:id="0" w:name="_GoBack"/>
      <w:bookmarkEnd w:id="0"/>
      <w:r w:rsidRPr="000D05BA">
        <w:rPr>
          <w:b/>
        </w:rPr>
        <w:t>decom</w:t>
      </w:r>
      <w:r w:rsidRPr="000D05BA">
        <w:rPr>
          <w:b/>
        </w:rPr>
        <w:t>position.</w:t>
      </w:r>
    </w:p>
    <w:p w:rsidR="007D621D" w:rsidRDefault="00E52D32">
      <w:pPr>
        <w:pStyle w:val="ListParagraph"/>
        <w:numPr>
          <w:ilvl w:val="0"/>
          <w:numId w:val="3"/>
        </w:numPr>
        <w:spacing w:after="80" w:line="276" w:lineRule="auto"/>
      </w:pPr>
      <w:r>
        <w:t>Strategy B estimation: FTA staggered DID (node, then dyadic if edge data available); China 2001 event study.</w:t>
      </w:r>
    </w:p>
    <w:p w:rsidR="007D621D" w:rsidRDefault="00E52D32">
      <w:pPr>
        <w:pStyle w:val="ListParagraph"/>
        <w:numPr>
          <w:ilvl w:val="0"/>
          <w:numId w:val="3"/>
        </w:numPr>
        <w:spacing w:after="80" w:line="276" w:lineRule="auto"/>
      </w:pPr>
      <w:r>
        <w:t>Robustness, placebo, and sensitivity analyses per Section 5.</w:t>
      </w:r>
    </w:p>
    <w:p w:rsidR="007D621D" w:rsidRDefault="00E52D32" w:rsidP="000D05BA">
      <w:pPr>
        <w:pStyle w:val="ListParagraph"/>
        <w:numPr>
          <w:ilvl w:val="0"/>
          <w:numId w:val="3"/>
        </w:numPr>
        <w:spacing w:after="80" w:line="276" w:lineRule="auto"/>
        <w:rPr>
          <w:rFonts w:hint="eastAsia"/>
        </w:rPr>
      </w:pPr>
      <w:r>
        <w:t>Draft working paper; position relative to the existing growth, war, BRI, and</w:t>
      </w:r>
      <w:r>
        <w:t xml:space="preserve"> fuel-price papers.</w:t>
      </w:r>
    </w:p>
    <w:sectPr w:rsidR="007D621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2D32" w:rsidRDefault="00E52D32">
      <w:r>
        <w:separator/>
      </w:r>
    </w:p>
  </w:endnote>
  <w:endnote w:type="continuationSeparator" w:id="0">
    <w:p w:rsidR="00E52D32" w:rsidRDefault="00E52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21D" w:rsidRDefault="00E52D32">
    <w:pPr>
      <w:tabs>
        <w:tab w:val="right" w:pos="9026"/>
      </w:tabs>
    </w:pPr>
    <w:r>
      <w:rPr>
        <w:color w:val="595959"/>
        <w:sz w:val="16"/>
        <w:szCs w:val="16"/>
      </w:rPr>
      <w:t>Trade Openness and Air Connectivity — Research Plan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F84D9C">
      <w:rPr>
        <w:color w:val="595959"/>
        <w:sz w:val="16"/>
        <w:szCs w:val="16"/>
      </w:rPr>
      <w:fldChar w:fldCharType="separate"/>
    </w:r>
    <w:r w:rsidR="00F84D9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2D32" w:rsidRDefault="00E52D32">
      <w:r>
        <w:separator/>
      </w:r>
    </w:p>
  </w:footnote>
  <w:footnote w:type="continuationSeparator" w:id="0">
    <w:p w:rsidR="00E52D32" w:rsidRDefault="00E52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85269"/>
    <w:multiLevelType w:val="hybridMultilevel"/>
    <w:tmpl w:val="97FE6D82"/>
    <w:lvl w:ilvl="0" w:tplc="B7387292">
      <w:start w:val="1"/>
      <w:numFmt w:val="bullet"/>
      <w:lvlText w:val="●"/>
      <w:lvlJc w:val="left"/>
      <w:pPr>
        <w:ind w:left="720" w:hanging="360"/>
      </w:pPr>
    </w:lvl>
    <w:lvl w:ilvl="1" w:tplc="AECC6582">
      <w:start w:val="1"/>
      <w:numFmt w:val="bullet"/>
      <w:lvlText w:val="○"/>
      <w:lvlJc w:val="left"/>
      <w:pPr>
        <w:ind w:left="1440" w:hanging="360"/>
      </w:pPr>
    </w:lvl>
    <w:lvl w:ilvl="2" w:tplc="C7C6A770">
      <w:start w:val="1"/>
      <w:numFmt w:val="bullet"/>
      <w:lvlText w:val="■"/>
      <w:lvlJc w:val="left"/>
      <w:pPr>
        <w:ind w:left="2160" w:hanging="360"/>
      </w:pPr>
    </w:lvl>
    <w:lvl w:ilvl="3" w:tplc="0E4A8FAA">
      <w:start w:val="1"/>
      <w:numFmt w:val="bullet"/>
      <w:lvlText w:val="●"/>
      <w:lvlJc w:val="left"/>
      <w:pPr>
        <w:ind w:left="2880" w:hanging="360"/>
      </w:pPr>
    </w:lvl>
    <w:lvl w:ilvl="4" w:tplc="D506E812">
      <w:start w:val="1"/>
      <w:numFmt w:val="bullet"/>
      <w:lvlText w:val="○"/>
      <w:lvlJc w:val="left"/>
      <w:pPr>
        <w:ind w:left="3600" w:hanging="360"/>
      </w:pPr>
    </w:lvl>
    <w:lvl w:ilvl="5" w:tplc="AAF863DC">
      <w:start w:val="1"/>
      <w:numFmt w:val="bullet"/>
      <w:lvlText w:val="■"/>
      <w:lvlJc w:val="left"/>
      <w:pPr>
        <w:ind w:left="4320" w:hanging="360"/>
      </w:pPr>
    </w:lvl>
    <w:lvl w:ilvl="6" w:tplc="8504573C">
      <w:start w:val="1"/>
      <w:numFmt w:val="bullet"/>
      <w:lvlText w:val="●"/>
      <w:lvlJc w:val="left"/>
      <w:pPr>
        <w:ind w:left="5040" w:hanging="360"/>
      </w:pPr>
    </w:lvl>
    <w:lvl w:ilvl="7" w:tplc="180858BC">
      <w:start w:val="1"/>
      <w:numFmt w:val="bullet"/>
      <w:lvlText w:val="●"/>
      <w:lvlJc w:val="left"/>
      <w:pPr>
        <w:ind w:left="5760" w:hanging="360"/>
      </w:pPr>
    </w:lvl>
    <w:lvl w:ilvl="8" w:tplc="A2AAE6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EC5973"/>
    <w:multiLevelType w:val="hybridMultilevel"/>
    <w:tmpl w:val="A43658E4"/>
    <w:lvl w:ilvl="0" w:tplc="81809756">
      <w:start w:val="1"/>
      <w:numFmt w:val="bullet"/>
      <w:lvlText w:val="•"/>
      <w:lvlJc w:val="left"/>
      <w:pPr>
        <w:ind w:left="540" w:hanging="270"/>
      </w:pPr>
    </w:lvl>
    <w:lvl w:ilvl="1" w:tplc="3E6ABB4C">
      <w:numFmt w:val="decimal"/>
      <w:lvlText w:val=""/>
      <w:lvlJc w:val="left"/>
    </w:lvl>
    <w:lvl w:ilvl="2" w:tplc="D01EB086">
      <w:numFmt w:val="decimal"/>
      <w:lvlText w:val=""/>
      <w:lvlJc w:val="left"/>
    </w:lvl>
    <w:lvl w:ilvl="3" w:tplc="ABB0110E">
      <w:numFmt w:val="decimal"/>
      <w:lvlText w:val=""/>
      <w:lvlJc w:val="left"/>
    </w:lvl>
    <w:lvl w:ilvl="4" w:tplc="8298A63C">
      <w:numFmt w:val="decimal"/>
      <w:lvlText w:val=""/>
      <w:lvlJc w:val="left"/>
    </w:lvl>
    <w:lvl w:ilvl="5" w:tplc="DC287714">
      <w:numFmt w:val="decimal"/>
      <w:lvlText w:val=""/>
      <w:lvlJc w:val="left"/>
    </w:lvl>
    <w:lvl w:ilvl="6" w:tplc="D968095E">
      <w:numFmt w:val="decimal"/>
      <w:lvlText w:val=""/>
      <w:lvlJc w:val="left"/>
    </w:lvl>
    <w:lvl w:ilvl="7" w:tplc="DE5E7BB2">
      <w:numFmt w:val="decimal"/>
      <w:lvlText w:val=""/>
      <w:lvlJc w:val="left"/>
    </w:lvl>
    <w:lvl w:ilvl="8" w:tplc="C916D848">
      <w:numFmt w:val="decimal"/>
      <w:lvlText w:val=""/>
      <w:lvlJc w:val="left"/>
    </w:lvl>
  </w:abstractNum>
  <w:abstractNum w:abstractNumId="2" w15:restartNumberingAfterBreak="0">
    <w:nsid w:val="63020309"/>
    <w:multiLevelType w:val="hybridMultilevel"/>
    <w:tmpl w:val="5BB8078A"/>
    <w:lvl w:ilvl="0" w:tplc="7C040D8C">
      <w:start w:val="1"/>
      <w:numFmt w:val="decimal"/>
      <w:lvlText w:val="%1."/>
      <w:lvlJc w:val="left"/>
      <w:pPr>
        <w:ind w:left="540" w:hanging="270"/>
      </w:pPr>
    </w:lvl>
    <w:lvl w:ilvl="1" w:tplc="376E0188">
      <w:numFmt w:val="decimal"/>
      <w:lvlText w:val=""/>
      <w:lvlJc w:val="left"/>
    </w:lvl>
    <w:lvl w:ilvl="2" w:tplc="2D847CF4">
      <w:numFmt w:val="decimal"/>
      <w:lvlText w:val=""/>
      <w:lvlJc w:val="left"/>
    </w:lvl>
    <w:lvl w:ilvl="3" w:tplc="1982F73C">
      <w:numFmt w:val="decimal"/>
      <w:lvlText w:val=""/>
      <w:lvlJc w:val="left"/>
    </w:lvl>
    <w:lvl w:ilvl="4" w:tplc="4F8AB0CA">
      <w:numFmt w:val="decimal"/>
      <w:lvlText w:val=""/>
      <w:lvlJc w:val="left"/>
    </w:lvl>
    <w:lvl w:ilvl="5" w:tplc="C98C83EA">
      <w:numFmt w:val="decimal"/>
      <w:lvlText w:val=""/>
      <w:lvlJc w:val="left"/>
    </w:lvl>
    <w:lvl w:ilvl="6" w:tplc="17B2578E">
      <w:numFmt w:val="decimal"/>
      <w:lvlText w:val=""/>
      <w:lvlJc w:val="left"/>
    </w:lvl>
    <w:lvl w:ilvl="7" w:tplc="334067E4">
      <w:numFmt w:val="decimal"/>
      <w:lvlText w:val=""/>
      <w:lvlJc w:val="left"/>
    </w:lvl>
    <w:lvl w:ilvl="8" w:tplc="253E0F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21D"/>
    <w:rsid w:val="000D05BA"/>
    <w:rsid w:val="007D621D"/>
    <w:rsid w:val="00E52D32"/>
    <w:rsid w:val="00F8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F811"/>
  <w15:docId w15:val="{80987C4B-575C-4639-85DF-34FC3901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spacing w:before="280" w:after="140"/>
      <w:outlineLvl w:val="0"/>
    </w:pPr>
    <w:rPr>
      <w:rFonts w:eastAsia="Arial"/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YOO SUNBIN</cp:lastModifiedBy>
  <cp:revision>3</cp:revision>
  <dcterms:created xsi:type="dcterms:W3CDTF">2026-06-04T11:06:00Z</dcterms:created>
  <dcterms:modified xsi:type="dcterms:W3CDTF">2026-06-04T11:29:00Z</dcterms:modified>
</cp:coreProperties>
</file>