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2bf1c7311d4390431f92be0ae9fa047a9446d6"/>
    <w:p>
      <w:pPr>
        <w:pStyle w:val="Heading1"/>
      </w:pPr>
      <w:r>
        <w:t xml:space="preserve">Resilience Calculation Spec — For Co-author Review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Connectivity–Resilience Inequality in the Global Aviation Network (1996–2024)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2026-05-15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Spec drafted, requesting co-author confirmation before computation begins.</w:t>
      </w:r>
    </w:p>
    <w:p>
      <w:r>
        <w:pict>
          <v:rect style="width:0;height:1.5pt" o:hralign="center" o:hrstd="t" o:hr="t"/>
        </w:pict>
      </w:r>
    </w:p>
    <w:bookmarkStart w:id="20" w:name="Xa659495e910963a1767925443ba401727baf26d"/>
    <w:p>
      <w:pPr>
        <w:pStyle w:val="Heading2"/>
      </w:pPr>
      <w:r>
        <w:t xml:space="preserve">1. Resilience Triangle — Per Airport × Per Shock</w:t>
      </w:r>
    </w:p>
    <w:p>
      <w:pPr>
        <w:pStyle w:val="FirstParagraph"/>
      </w:pPr>
      <w:r>
        <w:t xml:space="preserve">For each airport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each shock</w:t>
      </w:r>
      <w:r>
        <w:t xml:space="preserve"> </w:t>
      </w:r>
      <w:r>
        <w:rPr>
          <w:i/>
          <w:iCs/>
        </w:rPr>
        <w:t xml:space="preserve">s</w:t>
      </w:r>
      <w:r>
        <w:t xml:space="preserve">, we compute a four-tuple, following the established resilience-triangle lineage (Bruneau et al., 2003; Cimellaro et al., 2010; Reggiani et al., 2015; Janić, 2022):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ᵢₛ</w:t>
            </w:r>
          </w:p>
        </w:tc>
        <w:tc>
          <w:tcPr/>
          <w:p>
            <w:pPr>
              <w:pStyle w:val="Compact"/>
            </w:pPr>
            <w:r>
              <w:t xml:space="preserve">Robustness</w:t>
            </w:r>
          </w:p>
        </w:tc>
        <w:tc>
          <w:tcPr/>
          <w:p>
            <w:pPr>
              <w:pStyle w:val="Compact"/>
            </w:pPr>
            <w:r>
              <w:t xml:space="preserve">GACI(trough) / GACI(pre)</w:t>
            </w:r>
          </w:p>
        </w:tc>
        <w:tc>
          <w:tcPr/>
          <w:p>
            <w:pPr>
              <w:pStyle w:val="Compact"/>
            </w:pPr>
            <w:r>
              <w:t xml:space="preserve">Bruneau et al. (2003); Janić (2022)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ᵢₛ</w:t>
            </w:r>
          </w:p>
        </w:tc>
        <w:tc>
          <w:tcPr/>
          <w:p>
            <w:pPr>
              <w:pStyle w:val="Compact"/>
            </w:pPr>
            <w:r>
              <w:t xml:space="preserve">Rapidity</w:t>
            </w:r>
          </w:p>
        </w:tc>
        <w:tc>
          <w:tcPr/>
          <w:p>
            <w:pPr>
              <w:pStyle w:val="Compact"/>
            </w:pPr>
            <w:r>
              <w:t xml:space="preserve">t_recovery − t_shock</w:t>
            </w:r>
          </w:p>
        </w:tc>
        <w:tc>
          <w:tcPr/>
          <w:p>
            <w:pPr>
              <w:pStyle w:val="Compact"/>
            </w:pPr>
            <w:r>
              <w:t xml:space="preserve">Bruneau et al. (2003); Cimellaro et al. (2010)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ᵢₛ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GACI(2024) / GACI(pre)</w:t>
            </w:r>
          </w:p>
        </w:tc>
        <w:tc>
          <w:tcPr/>
          <w:p>
            <w:pPr>
              <w:pStyle w:val="Compact"/>
            </w:pPr>
            <w:r>
              <w:t xml:space="preserve">Extends Cimellaro et al. (2010)</w:t>
            </w:r>
            <w:r>
              <w:t xml:space="preserve"> </w:t>
            </w:r>
            <w:r>
              <w:t xml:space="preserve">“permanent loss”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Λ</w:t>
            </w:r>
            <w:r>
              <w:t xml:space="preserve">ᵢₛ</w:t>
            </w:r>
          </w:p>
        </w:tc>
        <w:tc>
          <w:tcPr/>
          <w:p>
            <w:pPr>
              <w:pStyle w:val="Compact"/>
            </w:pPr>
            <w:r>
              <w:t xml:space="preserve">Triangle area</w:t>
            </w:r>
          </w:p>
        </w:tc>
        <w:tc>
          <w:tcPr/>
          <w:p>
            <w:pPr>
              <w:pStyle w:val="Compact"/>
            </w:pPr>
            <w:r>
              <w:t xml:space="preserve">Σ max(0, GACI_pre − GACI_t) over [t_s, t_rec]</w:t>
            </w:r>
          </w:p>
        </w:tc>
        <w:tc>
          <w:tcPr/>
          <w:p>
            <w:pPr>
              <w:pStyle w:val="Compact"/>
            </w:pPr>
            <w:r>
              <w:t xml:space="preserve">Cimellaro et al. (2010, Eq. 5) discretised</w:t>
            </w:r>
          </w:p>
        </w:tc>
      </w:tr>
    </w:tbl>
    <w:p>
      <w:pPr>
        <w:pStyle w:val="BodyText"/>
      </w:pPr>
      <w:r>
        <w:t xml:space="preserve">The vector representation (rather than the scalar collapse in Janić, 2022) follows the recommendation of Reggiani et al. (2015) for transport-network resilience.</w:t>
      </w:r>
    </w:p>
    <w:p>
      <w:pPr>
        <w:pStyle w:val="BodyText"/>
      </w:pPr>
      <w:r>
        <w:t xml:space="preserve">The same four-tuple is also computed</w:t>
      </w:r>
      <w:r>
        <w:t xml:space="preserve"> </w:t>
      </w:r>
      <w:r>
        <w:rPr>
          <w:b/>
          <w:bCs/>
        </w:rPr>
        <w:t xml:space="preserve">separately for each of the 5 sub-components</w:t>
      </w:r>
      <w:r>
        <w:t xml:space="preserve"> </w:t>
      </w:r>
      <w:r>
        <w:t xml:space="preserve">of GACI (Degree, Eigen, NorClose, NorBetweenness, RegionalImportance) to enable RQ3 (which centrality type is the source of fragility). The GACI definition and its 5-component decomposition come from Cheung, Wong &amp; Zhang (2020).</w:t>
      </w:r>
    </w:p>
    <w:p>
      <w:r>
        <w:pict>
          <v:rect style="width:0;height:1.5pt" o:hralign="center" o:hrstd="t" o:hr="t"/>
        </w:pict>
      </w:r>
    </w:p>
    <w:bookmarkEnd w:id="20"/>
    <w:bookmarkStart w:id="21" w:name="five-design-choices-locked"/>
    <w:p>
      <w:pPr>
        <w:pStyle w:val="Heading2"/>
      </w:pPr>
      <w:r>
        <w:t xml:space="preserve">2. Five Design Choices — 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 /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Pre-shock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mean(GACI in [t_s−3, t_s−1])</w:t>
            </w:r>
            <w:r>
              <w:t xml:space="preserve"> </w:t>
            </w:r>
            <w:r>
              <w:t xml:space="preserve">(3-yr mean)</w:t>
            </w:r>
          </w:p>
        </w:tc>
        <w:tc>
          <w:tcPr/>
          <w:p>
            <w:pPr>
              <w:pStyle w:val="Compact"/>
            </w:pPr>
            <w:r>
              <w:t xml:space="preserve">Noise smoothing, consistent with the 3-year averaging convention in transport-resilience studies (Reggiani et al., 2015).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Recovery 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 of pre</w:t>
            </w:r>
            <w:r>
              <w:t xml:space="preserve"> </w:t>
            </w:r>
            <w:r>
              <w:t xml:space="preserve">(main), 80% (sensitivity)</w:t>
            </w:r>
          </w:p>
        </w:tc>
        <w:tc>
          <w:tcPr/>
          <w:p>
            <w:pPr>
              <w:pStyle w:val="Compact"/>
            </w:pPr>
            <w:r>
              <w:t xml:space="preserve">90% follows the practical recovery convention used in Cimellaro et al. (2010, §3.2); 95% (Bruneau et al., 2003 original) reported as upper-bound sensitivity.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Trough 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Airport-specific</w:t>
            </w:r>
            <w:r>
              <w:t xml:space="preserve"> </w:t>
            </w:r>
            <w:r>
              <w:rPr>
                <w:rStyle w:val="VerbatimChar"/>
              </w:rPr>
              <w:t xml:space="preserve">min(GACI_i in [t_s, t_s+2])</w:t>
            </w:r>
          </w:p>
        </w:tc>
        <w:tc>
          <w:tcPr/>
          <w:p>
            <w:pPr>
              <w:pStyle w:val="Compact"/>
            </w:pPr>
            <w:r>
              <w:t xml:space="preserve">Shock propagation speed varies by region. Heterogeneous-trough approach used in Janić (2022).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Risers (R &gt; 1, Λ &lt; 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 5th category</w:t>
            </w:r>
          </w:p>
        </w:tc>
        <w:tc>
          <w:tcPr/>
          <w:p>
            <w:pPr>
              <w:pStyle w:val="Compact"/>
            </w:pPr>
            <w:r>
              <w:t xml:space="preserve">Substitution beneficiaries (DOH, MEM, IST) are conceptually distinct; analysed under RQ4. Borrowed-centrality framing extends Wandelt et al. (2024).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Overlapping shocks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shocks only</w:t>
            </w:r>
          </w:p>
        </w:tc>
        <w:tc>
          <w:tcPr/>
          <w:p>
            <w:pPr>
              <w:pStyle w:val="Compact"/>
            </w:pPr>
            <w:r>
              <w:t xml:space="preserve">Pre-window must be free of prior-shock contamination, otherwise resilience triangles are mis-anchored.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lean-shock-list"/>
    <w:p>
      <w:pPr>
        <w:pStyle w:val="Heading2"/>
      </w:pPr>
      <w:r>
        <w:t xml:space="preserve">3. Clean Shock List</w:t>
      </w:r>
    </w:p>
    <w:p>
      <w:pPr>
        <w:pStyle w:val="FirstParagraph"/>
      </w:pPr>
      <w:r>
        <w:t xml:space="preserve">Five shocks with uncontaminated pre-windows: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Pre-window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9/11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1998–2000</w:t>
            </w:r>
          </w:p>
        </w:tc>
        <w:tc>
          <w:tcPr/>
          <w:p>
            <w:pPr>
              <w:pStyle w:val="Compact"/>
            </w:pPr>
            <w:r>
              <w:t xml:space="preserve">Geopolitical /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2000–2002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Financial Crisis</w:t>
            </w:r>
          </w:p>
        </w:tc>
        <w:tc>
          <w:tcPr/>
          <w:p>
            <w:pPr>
              <w:pStyle w:val="Compact"/>
            </w:pPr>
            <w:r>
              <w:t xml:space="preserve">2008–09</w:t>
            </w:r>
          </w:p>
        </w:tc>
        <w:tc>
          <w:tcPr/>
          <w:p>
            <w:pPr>
              <w:pStyle w:val="Compact"/>
            </w:pPr>
            <w:r>
              <w:t xml:space="preserve">2005–2007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Ebola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2011–2013</w:t>
            </w:r>
          </w:p>
        </w:tc>
        <w:tc>
          <w:tcPr/>
          <w:p>
            <w:pPr>
              <w:pStyle w:val="Compact"/>
            </w:pPr>
            <w:r>
              <w:t xml:space="preserve">Health / 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COVID-19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2017–2019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Dropped from main analysis (overlap with prior shock):</w:t>
      </w:r>
      <w:r>
        <w:t xml:space="preserve"> </w:t>
      </w:r>
      <w:r>
        <w:t xml:space="preserve">H1N1 2009 (within GFC), Eyjafjallajökull ash 2010 (GFC tail), Arab Spring 2011 (GFC tail), Russia 2014 (Ebola-overlap region), Russia 2022 (within COVID recovery).</w:t>
      </w:r>
    </w:p>
    <w:p>
      <w:pPr>
        <w:pStyle w:val="BodyText"/>
      </w:pPr>
      <w:r>
        <w:rPr>
          <w:b/>
          <w:bCs/>
        </w:rPr>
        <w:t xml:space="preserve">Russia 2022 is retained as a qualitative case study for RQ4</w:t>
      </w:r>
      <w:r>
        <w:t xml:space="preserve"> </w:t>
      </w:r>
      <w:r>
        <w:t xml:space="preserve">(canonical substitution / borrowed-centrality example: IST and DOH absorbing trans-Siberian detour traffic).</w:t>
      </w:r>
    </w:p>
    <w:p>
      <w:r>
        <w:pict>
          <v:rect style="width:0;height:1.5pt" o:hralign="center" o:hrstd="t" o:hr="t"/>
        </w:pict>
      </w:r>
    </w:p>
    <w:bookmarkEnd w:id="22"/>
    <w:bookmarkStart w:id="23" w:name="worked-example-lax-covid-19"/>
    <w:p>
      <w:pPr>
        <w:pStyle w:val="Heading2"/>
      </w:pPr>
      <w:r>
        <w:t xml:space="preserve">4. Worked Example — LAX × COVID-19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GACI</w:t>
            </w:r>
          </w:p>
        </w:tc>
        <w:tc>
          <w:tcPr/>
          <w:p>
            <w:pPr>
              <w:pStyle w:val="Compact"/>
            </w:pPr>
            <w:r>
              <w:t xml:space="preserve">3.375</w:t>
            </w:r>
          </w:p>
        </w:tc>
        <w:tc>
          <w:tcPr/>
          <w:p>
            <w:pPr>
              <w:pStyle w:val="Compact"/>
            </w:pPr>
            <w:r>
              <w:t xml:space="preserve">3.332</w:t>
            </w:r>
          </w:p>
        </w:tc>
        <w:tc>
          <w:tcPr/>
          <w:p>
            <w:pPr>
              <w:pStyle w:val="Compact"/>
            </w:pPr>
            <w:r>
              <w:t xml:space="preserve">3.318</w:t>
            </w:r>
          </w:p>
        </w:tc>
        <w:tc>
          <w:tcPr/>
          <w:p>
            <w:pPr>
              <w:pStyle w:val="Compact"/>
            </w:pPr>
            <w:r>
              <w:t xml:space="preserve">2.351</w:t>
            </w:r>
          </w:p>
        </w:tc>
        <w:tc>
          <w:tcPr/>
          <w:p>
            <w:pPr>
              <w:pStyle w:val="Compact"/>
            </w:pPr>
            <w:r>
              <w:t xml:space="preserve">2.394</w:t>
            </w:r>
          </w:p>
        </w:tc>
        <w:tc>
          <w:tcPr/>
          <w:p>
            <w:pPr>
              <w:pStyle w:val="Compact"/>
            </w:pPr>
            <w:r>
              <w:t xml:space="preserve">3.023</w:t>
            </w:r>
          </w:p>
        </w:tc>
        <w:tc>
          <w:tcPr/>
          <w:p>
            <w:pPr>
              <w:pStyle w:val="Compact"/>
            </w:pPr>
            <w:r>
              <w:t xml:space="preserve">3.108</w:t>
            </w:r>
          </w:p>
        </w:tc>
        <w:tc>
          <w:tcPr/>
          <w:p>
            <w:pPr>
              <w:pStyle w:val="Compact"/>
            </w:pPr>
            <w:r>
              <w:t xml:space="preserve">3.257</w:t>
            </w:r>
          </w:p>
        </w:tc>
      </w:tr>
    </w:tbl>
    <w:p>
      <w:pPr>
        <w:pStyle w:val="BodyText"/>
      </w:pPr>
      <w:r>
        <w:t xml:space="preserve">Calculation:</w:t>
      </w:r>
    </w:p>
    <w:p>
      <w:pPr>
        <w:pStyle w:val="Compact"/>
        <w:numPr>
          <w:ilvl w:val="0"/>
          <w:numId w:val="1001"/>
        </w:numPr>
      </w:pPr>
      <w:r>
        <w:t xml:space="preserve">Pre = mean(3.375, 3.332, 3.318) =</w:t>
      </w:r>
      <w:r>
        <w:t xml:space="preserve"> </w:t>
      </w:r>
      <w:r>
        <w:rPr>
          <w:b/>
          <w:bCs/>
        </w:rPr>
        <w:t xml:space="preserve">3.342</w:t>
      </w:r>
    </w:p>
    <w:p>
      <w:pPr>
        <w:pStyle w:val="Compact"/>
        <w:numPr>
          <w:ilvl w:val="0"/>
          <w:numId w:val="1001"/>
        </w:numPr>
      </w:pPr>
      <w:r>
        <w:t xml:space="preserve">Trough = min(2020–22) =</w:t>
      </w:r>
      <w:r>
        <w:t xml:space="preserve"> </w:t>
      </w:r>
      <w:r>
        <w:rPr>
          <w:b/>
          <w:bCs/>
        </w:rPr>
        <w:t xml:space="preserve">2.351</w:t>
      </w:r>
      <w:r>
        <w:t xml:space="preserve"> </w:t>
      </w:r>
      <w:r>
        <w:t xml:space="preserve">(at 2020)</w:t>
      </w:r>
    </w:p>
    <w:p>
      <w:pPr>
        <w:pStyle w:val="Compact"/>
        <w:numPr>
          <w:ilvl w:val="0"/>
          <w:numId w:val="1001"/>
        </w:numPr>
      </w:pPr>
      <w:r>
        <w:t xml:space="preserve">90% threshold = 0.9 × 3.342 = 3.008</w:t>
      </w:r>
    </w:p>
    <w:p>
      <w:pPr>
        <w:pStyle w:val="Compact"/>
        <w:numPr>
          <w:ilvl w:val="0"/>
          <w:numId w:val="1001"/>
        </w:numPr>
      </w:pPr>
      <w:r>
        <w:t xml:space="preserve">Recovery year = first year GACI ≥ 3.008 after 2020 →</w:t>
      </w:r>
      <w:r>
        <w:t xml:space="preserve"> </w:t>
      </w:r>
      <w:r>
        <w:rPr>
          <w:b/>
          <w:bCs/>
        </w:rPr>
        <w:t xml:space="preserve">2022</w:t>
      </w:r>
      <w:r>
        <w:t xml:space="preserve"> </w:t>
      </w:r>
      <w:r>
        <w:t xml:space="preserve">(3.023)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= 0.703</w:t>
      </w:r>
      <w:r>
        <w:t xml:space="preserve"> </w:t>
      </w:r>
      <w:r>
        <w:t xml:space="preserve">(kept 70% of pre at trough)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 = 2</w:t>
      </w:r>
      <w:r>
        <w:t xml:space="preserve"> </w:t>
      </w:r>
      <w:r>
        <w:t xml:space="preserve">years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 = 0.975</w:t>
      </w:r>
      <w:r>
        <w:t xml:space="preserve"> </w:t>
      </w:r>
      <w:r>
        <w:t xml:space="preserve">(97.5% of pre by 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Λ = (3.342 − 2.351) + (3.342 − 2.394) = 1.939</w:t>
      </w:r>
      <w:r>
        <w:t xml:space="preserve"> </w:t>
      </w:r>
      <w:r>
        <w:t xml:space="preserve">GACI·yr</w:t>
      </w:r>
    </w:p>
    <w:p>
      <w:pPr>
        <w:pStyle w:val="FirstParagraph"/>
      </w:pPr>
      <w:r>
        <w:t xml:space="preserve">LAX summary:</w:t>
      </w:r>
      <w:r>
        <w:t xml:space="preserve"> </w:t>
      </w:r>
      <w:r>
        <w:t xml:space="preserve">“lost 30%, recovered to 90% in 2 years, near-full normalisation by 2024”</w:t>
      </w:r>
      <w:r>
        <w:t xml:space="preserve"> </w:t>
      </w:r>
      <w:r>
        <w:t xml:space="preserve">— robust profile.</w:t>
      </w:r>
    </w:p>
    <w:p>
      <w:r>
        <w:pict>
          <v:rect style="width:0;height:1.5pt" o:hralign="center" o:hrstd="t" o:hr="t"/>
        </w:pict>
      </w:r>
    </w:p>
    <w:bookmarkEnd w:id="23"/>
    <w:bookmarkStart w:id="24" w:name="pipeline-output-shape"/>
    <w:p>
      <w:pPr>
        <w:pStyle w:val="Heading2"/>
      </w:pPr>
      <w:r>
        <w:t xml:space="preserve">5. Pipeline Output Shape</w:t>
      </w:r>
    </w:p>
    <w:p>
      <w:pPr>
        <w:pStyle w:val="FirstParagraph"/>
      </w:pPr>
      <w:r>
        <w:t xml:space="preserve">The full panel after computation:</w:t>
      </w:r>
    </w:p>
    <w:p>
      <w:pPr>
        <w:pStyle w:val="Compact"/>
        <w:numPr>
          <w:ilvl w:val="0"/>
          <w:numId w:val="1002"/>
        </w:numPr>
      </w:pPr>
      <w:r>
        <w:t xml:space="preserve">5,428 airports × 5 clean shocks × 5 centrality components × 4 metrics (R, T, M, Λ)</w:t>
      </w:r>
    </w:p>
    <w:p>
      <w:pPr>
        <w:pStyle w:val="Compact"/>
        <w:numPr>
          <w:ilvl w:val="0"/>
          <w:numId w:val="1002"/>
        </w:numPr>
      </w:pPr>
      <w:r>
        <w:t xml:space="preserve">= approximately</w:t>
      </w:r>
      <w:r>
        <w:t xml:space="preserve"> </w:t>
      </w:r>
      <w:r>
        <w:rPr>
          <w:b/>
          <w:bCs/>
        </w:rPr>
        <w:t xml:space="preserve">543,000 cells</w:t>
      </w:r>
      <w:r>
        <w:t xml:space="preserve">, plus airport-level metadata (region, country, hub-type, etc.)</w:t>
      </w:r>
    </w:p>
    <w:p>
      <w:pPr>
        <w:pStyle w:val="Compact"/>
        <w:numPr>
          <w:ilvl w:val="0"/>
          <w:numId w:val="1002"/>
        </w:numPr>
      </w:pPr>
      <w:r>
        <w:t xml:space="preserve">Plus a separate</w:t>
      </w:r>
      <w:r>
        <w:t xml:space="preserve"> </w:t>
      </w:r>
      <w:r>
        <w:rPr>
          <w:b/>
          <w:bCs/>
        </w:rPr>
        <w:t xml:space="preserve">riser DB</w:t>
      </w:r>
      <w:r>
        <w:t xml:space="preserve"> </w:t>
      </w:r>
      <w:r>
        <w:t xml:space="preserve">(airports with R &gt; 1 for any shock × component, ~10–20% of cells expected)</w:t>
      </w:r>
    </w:p>
    <w:p>
      <w:r>
        <w:pict>
          <v:rect style="width:0;height:1.5pt" o:hralign="center" o:hrstd="t" o:hr="t"/>
        </w:pict>
      </w:r>
    </w:p>
    <w:bookmarkEnd w:id="24"/>
    <w:bookmarkStart w:id="25" w:name="pending-questions-for-co-authors"/>
    <w:p>
      <w:pPr>
        <w:pStyle w:val="Heading2"/>
      </w:pPr>
      <w:r>
        <w:t xml:space="preserve">6. Pending Questions for Co-authors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Russia 2022 inclusion in main panel.</w:t>
      </w:r>
      <w:r>
        <w:t xml:space="preserve"> </w:t>
      </w:r>
      <w:r>
        <w:t xml:space="preserve">Currently dropped due to COVID overlap, retained only as qualitative case for RQ4. Is the COVID-pre-window contamination (mean of 2019, 2020, 2021) bad enough to justify exclusion, or should we proceed with a</w:t>
      </w:r>
      <w:r>
        <w:t xml:space="preserve"> </w:t>
      </w:r>
      <w:r>
        <w:rPr>
          <w:i/>
          <w:iCs/>
        </w:rPr>
        <w:t xml:space="preserve">DiD-style</w:t>
      </w:r>
      <w:r>
        <w:t xml:space="preserve"> </w:t>
      </w:r>
      <w:r>
        <w:t xml:space="preserve">design (treated = Trans-Siberian-dependent EU–AS routes, control = unaffected, using 2019 as clean baseline)? The DiD route would preserve a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multi-shock test.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Recovery threshold sensitivity.</w:t>
      </w:r>
      <w:r>
        <w:t xml:space="preserve"> </w:t>
      </w:r>
      <w:r>
        <w:t xml:space="preserve">90% main / 80% sensitivity — should we also report 95% as a third sensitivity to align with Bruneau (2003) original convention?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Memory M definition.</w:t>
      </w:r>
      <w:r>
        <w:t xml:space="preserve"> </w:t>
      </w:r>
      <w:r>
        <w:t xml:space="preserve">Currently GACI(2024) / GACI(pre). For shocks where recovery completed before 2024 (e.g., SARS, recovered by 2005), is the 2024-anchored M still meaningful, or should M be defined at t_rec + 5 (i.e.,</w:t>
      </w:r>
      <w:r>
        <w:t xml:space="preserve"> </w:t>
      </w:r>
      <w:r>
        <w:t xml:space="preserve">“5 years past recovery”</w:t>
      </w:r>
      <w:r>
        <w:t xml:space="preserve">)?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Cross-component aggregation.</w:t>
      </w:r>
      <w:r>
        <w:t xml:space="preserve"> </w:t>
      </w:r>
      <w:r>
        <w:t xml:space="preserve">When we have 5 component-level (R, T, M, Λ), should we (a) report each separately throughout, or (b) construct a composite resilience index by weighting the 5 components inversely to their pre-shock GACI loadings (parallel to how Cheung et al. 2020 built GACI itself)?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Eigenvector–GACI collinearity.</w:t>
      </w:r>
      <w:r>
        <w:t xml:space="preserve"> </w:t>
      </w:r>
      <w:r>
        <w:t xml:space="preserve">Eigenvector centrality is mechanically inside the GACI formula. When regressing Λ^GACI on the 5 components, this risks pure collinearity. Do we orthogonalise (Gram–Schmidt) before regression, or use Shapley variance-decomposition only?</w:t>
      </w:r>
    </w:p>
    <w:p>
      <w:r>
        <w:pict>
          <v:rect style="width:0;height:1.5pt" o:hralign="center" o:hrstd="t" o:hr="t"/>
        </w:pict>
      </w:r>
    </w:p>
    <w:bookmarkEnd w:id="25"/>
    <w:bookmarkStart w:id="26" w:name="next-step-after-co-author-sign-off"/>
    <w:p>
      <w:pPr>
        <w:pStyle w:val="Heading2"/>
      </w:pPr>
      <w:r>
        <w:t xml:space="preserve">7. Next Step (After Co-author Sign-off)</w:t>
      </w:r>
    </w:p>
    <w:p>
      <w:pPr>
        <w:pStyle w:val="Compact"/>
        <w:numPr>
          <w:ilvl w:val="0"/>
          <w:numId w:val="1004"/>
        </w:numPr>
      </w:pPr>
      <w:r>
        <w:t xml:space="preserve">Implement shock-window detection per airport in Python (4 days)</w:t>
      </w:r>
    </w:p>
    <w:p>
      <w:pPr>
        <w:pStyle w:val="Compact"/>
        <w:numPr>
          <w:ilvl w:val="0"/>
          <w:numId w:val="1004"/>
        </w:numPr>
      </w:pPr>
      <w:r>
        <w:t xml:space="preserve">Compute (R, T, M, Λ) for the full 5,428 × 5 × 5 panel (2 days)</w:t>
      </w:r>
    </w:p>
    <w:p>
      <w:pPr>
        <w:pStyle w:val="Compact"/>
        <w:numPr>
          <w:ilvl w:val="0"/>
          <w:numId w:val="1004"/>
        </w:numPr>
      </w:pPr>
      <w:r>
        <w:t xml:space="preserve">Generate per-shock quadrant world maps + Lorenz curves (3 days)</w:t>
      </w:r>
    </w:p>
    <w:p>
      <w:pPr>
        <w:pStyle w:val="Compact"/>
        <w:numPr>
          <w:ilvl w:val="0"/>
          <w:numId w:val="1004"/>
        </w:numPr>
      </w:pPr>
      <w:r>
        <w:t xml:space="preserve">Run meta-regression and SAR estimation in R (5 days)</w:t>
      </w:r>
    </w:p>
    <w:p>
      <w:pPr>
        <w:pStyle w:val="Compact"/>
        <w:numPr>
          <w:ilvl w:val="0"/>
          <w:numId w:val="1004"/>
        </w:numPr>
      </w:pPr>
      <w:r>
        <w:t xml:space="preserve">First-draft Results section (2 weeks)</w:t>
      </w:r>
    </w:p>
    <w:p>
      <w:pPr>
        <w:pStyle w:val="FirstParagraph"/>
      </w:pPr>
      <w:r>
        <w:t xml:space="preserve">Total: ~5 weeks from go-ahead to first Results draft.</w:t>
      </w:r>
    </w:p>
    <w:p>
      <w:r>
        <w:pict>
          <v:rect style="width:0;height:1.5pt" o:hralign="center" o:hrstd="t" o:hr="t"/>
        </w:pict>
      </w:r>
    </w:p>
    <w:bookmarkEnd w:id="26"/>
    <w:bookmarkStart w:id="27" w:name="key-references"/>
    <w:p>
      <w:pPr>
        <w:pStyle w:val="Heading2"/>
      </w:pPr>
      <w:r>
        <w:t xml:space="preserve">8. Key References</w:t>
      </w:r>
    </w:p>
    <w:p>
      <w:pPr>
        <w:pStyle w:val="FirstParagraph"/>
      </w:pPr>
      <w:r>
        <w:rPr>
          <w:b/>
          <w:bCs/>
        </w:rPr>
        <w:t xml:space="preserve">Resilience-triangle formulation.</w:t>
      </w:r>
    </w:p>
    <w:p>
      <w:pPr>
        <w:pStyle w:val="Compact"/>
        <w:numPr>
          <w:ilvl w:val="0"/>
          <w:numId w:val="1005"/>
        </w:numPr>
      </w:pPr>
      <w:r>
        <w:t xml:space="preserve">Bruneau, M., Chang, S.E., Eguchi, R.T., Lee, G.C., O’Rourke, T.D., Reinhorn, A.M., Shinozuka, M., Tierney, K., Wallace, W.A., von Winterfeldt, D. (2003). A framework to quantitatively assess and enhance the seismic resilience of communities.</w:t>
      </w:r>
      <w:r>
        <w:t xml:space="preserve"> </w:t>
      </w:r>
      <w:r>
        <w:rPr>
          <w:i/>
          <w:iCs/>
        </w:rPr>
        <w:t xml:space="preserve">Earthquake Spectra</w:t>
      </w:r>
      <w:r>
        <w:t xml:space="preserve">, 19(4), 733–752.</w:t>
      </w:r>
    </w:p>
    <w:p>
      <w:pPr>
        <w:pStyle w:val="Compact"/>
        <w:numPr>
          <w:ilvl w:val="0"/>
          <w:numId w:val="1005"/>
        </w:numPr>
      </w:pPr>
      <w:r>
        <w:t xml:space="preserve">Cimellaro, G.P., Reinhorn, A.M., Bruneau, M. (2010). Framework for analytical quantification of disaster resilience.</w:t>
      </w:r>
      <w:r>
        <w:t xml:space="preserve"> </w:t>
      </w:r>
      <w:r>
        <w:rPr>
          <w:i/>
          <w:iCs/>
        </w:rPr>
        <w:t xml:space="preserve">Engineering Structures</w:t>
      </w:r>
      <w:r>
        <w:t xml:space="preserve">, 32(11), 3639–3649.</w:t>
      </w:r>
    </w:p>
    <w:p>
      <w:pPr>
        <w:pStyle w:val="Compact"/>
        <w:numPr>
          <w:ilvl w:val="0"/>
          <w:numId w:val="1005"/>
        </w:numPr>
      </w:pPr>
      <w:r>
        <w:t xml:space="preserve">Reggiani, A., Nijkamp, P., Lanzi, D. (2015). Transport resilience and vulnerability: the role of connectivity.</w:t>
      </w:r>
      <w:r>
        <w:t xml:space="preserve"> </w:t>
      </w:r>
      <w:r>
        <w:rPr>
          <w:i/>
          <w:iCs/>
        </w:rPr>
        <w:t xml:space="preserve">Transportation Research Part A</w:t>
      </w:r>
      <w:r>
        <w:t xml:space="preserve">, 81, 4–15.</w:t>
      </w:r>
    </w:p>
    <w:p>
      <w:pPr>
        <w:pStyle w:val="Compact"/>
        <w:numPr>
          <w:ilvl w:val="0"/>
          <w:numId w:val="1005"/>
        </w:numPr>
      </w:pPr>
      <w:r>
        <w:t xml:space="preserve">Janić, M. (2022). Analysis and modelling of airport resilience, robustness, and vulnerability: impact of COVID-19 pandemic disease.</w:t>
      </w:r>
      <w:r>
        <w:t xml:space="preserve"> </w:t>
      </w:r>
      <w:r>
        <w:rPr>
          <w:i/>
          <w:iCs/>
        </w:rPr>
        <w:t xml:space="preserve">The Aeronautical Journal</w:t>
      </w:r>
      <w:r>
        <w:t xml:space="preserve">, 126(1304), 1924–1953.</w:t>
      </w:r>
    </w:p>
    <w:p>
      <w:pPr>
        <w:pStyle w:val="FirstParagraph"/>
      </w:pPr>
      <w:r>
        <w:rPr>
          <w:b/>
          <w:bCs/>
        </w:rPr>
        <w:t xml:space="preserve">Aviation-network connectivity and resilience.</w:t>
      </w:r>
    </w:p>
    <w:p>
      <w:pPr>
        <w:pStyle w:val="Compact"/>
        <w:numPr>
          <w:ilvl w:val="0"/>
          <w:numId w:val="1006"/>
        </w:numPr>
      </w:pPr>
      <w:r>
        <w:t xml:space="preserve">Cheung, T.K.Y., Wong, C.W.H., Zhang, A. (2020). The evolution of aviation network: Global airport connectivity index 2006–2016.</w:t>
      </w:r>
      <w:r>
        <w:t xml:space="preserve"> </w:t>
      </w:r>
      <w:r>
        <w:rPr>
          <w:i/>
          <w:iCs/>
        </w:rPr>
        <w:t xml:space="preserve">Transportation Research Part E</w:t>
      </w:r>
      <w:r>
        <w:t xml:space="preserve">, 133, 101826.</w:t>
      </w:r>
    </w:p>
    <w:p>
      <w:pPr>
        <w:pStyle w:val="Compact"/>
        <w:numPr>
          <w:ilvl w:val="0"/>
          <w:numId w:val="1006"/>
        </w:numPr>
      </w:pPr>
      <w:r>
        <w:t xml:space="preserve">Wandelt, S., Zhang, A., Sun, X. (2024). Global Airport Resilience Index: Towards a comprehensive understanding of air transportation resilience.</w:t>
      </w:r>
      <w:r>
        <w:t xml:space="preserve"> </w:t>
      </w:r>
      <w:r>
        <w:rPr>
          <w:i/>
          <w:iCs/>
        </w:rPr>
        <w:t xml:space="preserve">Transportation Research Part D</w:t>
      </w:r>
      <w:r>
        <w:t xml:space="preserve">, 138, 104796.</w:t>
      </w:r>
    </w:p>
    <w:p>
      <w:pPr>
        <w:pStyle w:val="FirstParagraph"/>
      </w:pPr>
      <w:r>
        <w:rPr>
          <w:b/>
          <w:bCs/>
        </w:rPr>
        <w:t xml:space="preserve">Connectivity–resilience inversion in urban infrastructure.</w:t>
      </w:r>
    </w:p>
    <w:p>
      <w:pPr>
        <w:pStyle w:val="Compact"/>
        <w:numPr>
          <w:ilvl w:val="0"/>
          <w:numId w:val="1007"/>
        </w:numPr>
      </w:pPr>
      <w:r>
        <w:t xml:space="preserve">Our previous work (under review at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, 2026). Inequality in railway accessibility and resilience across the Tokyo Metropolitan area.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2026-05-15T04:48:18Z</dcterms:created>
  <dcterms:modified xsi:type="dcterms:W3CDTF">2026-05-15T04:48:18Z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