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what-r-t-m-λ-measure-an-intuitive-guide"/>
    <w:p>
      <w:pPr>
        <w:pStyle w:val="Heading1"/>
      </w:pPr>
      <w:r>
        <w:t xml:space="preserve">What R, T, M, Λ Measure — An Intuitive Guide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Connectivity–Resilience Inequality in the Global Aviation Network (1996–2024)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2026-05-15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A one-page intuitive explanation of the four resilience-triangle metrics, for co-author review.</w:t>
      </w:r>
    </w:p>
    <w:p>
      <w:r>
        <w:pict>
          <v:rect style="width:0;height:1.5pt" o:hralign="center" o:hrstd="t" o:hr="t"/>
        </w:pict>
      </w:r>
    </w:p>
    <w:bookmarkStart w:id="20" w:name="the-four-dimensions"/>
    <w:p>
      <w:pPr>
        <w:pStyle w:val="Heading2"/>
      </w:pPr>
      <w:r>
        <w:t xml:space="preserve">The four dimensions</w:t>
      </w:r>
    </w:p>
    <w:p>
      <w:pPr>
        <w:pStyle w:val="FirstParagraph"/>
      </w:pPr>
      <w:r>
        <w:t xml:space="preserve">For each airport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and each shock</w:t>
      </w:r>
      <w:r>
        <w:t xml:space="preserve"> </w:t>
      </w:r>
      <w:r>
        <w:rPr>
          <w:i/>
          <w:iCs/>
        </w:rPr>
        <w:t xml:space="preserve">s</w:t>
      </w:r>
      <w:r>
        <w:t xml:space="preserve">, we compute four numbers that together describe how the airport responded to the shock. The framework comes from disaster-engineering resilience theory (Bruneau et al., 2003; Cimellaro et al., 2010) applied here to GACI dynamics.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What it asks</w:t>
            </w:r>
          </w:p>
        </w:tc>
        <w:tc>
          <w:tcPr/>
          <w:p>
            <w:pPr>
              <w:pStyle w:val="Compact"/>
            </w:pPr>
            <w:r>
              <w:t xml:space="preserve">Better when…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Robustness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How much did the airport keep at the worst moment?</w:t>
            </w:r>
          </w:p>
        </w:tc>
        <w:tc>
          <w:tcPr/>
          <w:p>
            <w:pPr>
              <w:pStyle w:val="Compact"/>
            </w:pPr>
            <w:r>
              <w:t xml:space="preserve">R closer to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Rapidity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How fast did the airport bounce back?</w:t>
            </w:r>
          </w:p>
        </w:tc>
        <w:tc>
          <w:tcPr/>
          <w:p>
            <w:pPr>
              <w:pStyle w:val="Compact"/>
            </w:pPr>
            <w:r>
              <w:t xml:space="preserve">T closer to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Did the airport return to its old normal, or settle below?</w:t>
            </w:r>
          </w:p>
        </w:tc>
        <w:tc>
          <w:tcPr/>
          <w:p>
            <w:pPr>
              <w:pStyle w:val="Compact"/>
            </w:pPr>
            <w:r>
              <w:t xml:space="preserve">M closer to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Λ</w:t>
            </w:r>
          </w:p>
        </w:tc>
        <w:tc>
          <w:tcPr/>
          <w:p>
            <w:pPr>
              <w:pStyle w:val="Compact"/>
            </w:pPr>
            <w:r>
              <w:t xml:space="preserve">Triangle area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What was the cumulative loss in GACI-years?</w:t>
            </w:r>
          </w:p>
        </w:tc>
        <w:tc>
          <w:tcPr/>
          <w:p>
            <w:pPr>
              <w:pStyle w:val="Compact"/>
            </w:pPr>
            <w:r>
              <w:t xml:space="preserve">Λ closer to 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worked-example-lax-covid-19"/>
    <w:p>
      <w:pPr>
        <w:pStyle w:val="Heading2"/>
      </w:pPr>
      <w:r>
        <w:t xml:space="preserve">Worked example: LAX × COVID-19</w:t>
      </w:r>
    </w:p>
    <w:p>
      <w:pPr>
        <w:pStyle w:val="FirstParagraph"/>
      </w:pPr>
      <w:r>
        <w:t xml:space="preserve">LAX’s GACI series from 2017 through 2024: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2017</w:t>
            </w:r>
          </w:p>
        </w:tc>
        <w:tc>
          <w:tcPr/>
          <w:p>
            <w:pPr>
              <w:pStyle w:val="Compact"/>
            </w:pPr>
            <w:r>
              <w:t xml:space="preserve">2018</w:t>
            </w:r>
          </w:p>
        </w:tc>
        <w:tc>
          <w:tcPr/>
          <w:p>
            <w:pPr>
              <w:pStyle w:val="Compact"/>
            </w:pPr>
            <w:r>
              <w:t xml:space="preserve">2019</w:t>
            </w:r>
          </w:p>
        </w:tc>
        <w:tc>
          <w:tcPr/>
          <w:p>
            <w:pPr>
              <w:pStyle w:val="Compact"/>
            </w:pPr>
            <w:r>
              <w:t xml:space="preserve">2020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GACI</w:t>
            </w:r>
          </w:p>
        </w:tc>
        <w:tc>
          <w:tcPr/>
          <w:p>
            <w:pPr>
              <w:pStyle w:val="Compact"/>
            </w:pPr>
            <w:r>
              <w:t xml:space="preserve">3.375</w:t>
            </w:r>
          </w:p>
        </w:tc>
        <w:tc>
          <w:tcPr/>
          <w:p>
            <w:pPr>
              <w:pStyle w:val="Compact"/>
            </w:pPr>
            <w:r>
              <w:t xml:space="preserve">3.332</w:t>
            </w:r>
          </w:p>
        </w:tc>
        <w:tc>
          <w:tcPr/>
          <w:p>
            <w:pPr>
              <w:pStyle w:val="Compact"/>
            </w:pPr>
            <w:r>
              <w:t xml:space="preserve">3.318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2.351</w:t>
            </w:r>
          </w:p>
        </w:tc>
        <w:tc>
          <w:tcPr/>
          <w:p>
            <w:pPr>
              <w:pStyle w:val="Compact"/>
            </w:pPr>
            <w:r>
              <w:t xml:space="preserve">2.394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3.023</w:t>
            </w:r>
          </w:p>
        </w:tc>
        <w:tc>
          <w:tcPr/>
          <w:p>
            <w:pPr>
              <w:pStyle w:val="Compact"/>
            </w:pPr>
            <w:r>
              <w:t xml:space="preserve">3.108</w:t>
            </w:r>
          </w:p>
        </w:tc>
        <w:tc>
          <w:tcPr/>
          <w:p>
            <w:pPr>
              <w:pStyle w:val="Compact"/>
            </w:pPr>
            <w:r>
              <w:t xml:space="preserve">3.257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pre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pre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pre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trough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recovery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end</w:t>
            </w:r>
          </w:p>
        </w:tc>
      </w:tr>
    </w:tbl>
    <w:p>
      <w:pPr>
        <w:pStyle w:val="BodyText"/>
      </w:pPr>
      <w:r>
        <w:t xml:space="preserve">Inputs derived from the series: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Pre-shock baseline</w:t>
      </w:r>
      <w:r>
        <w:t xml:space="preserve"> </w:t>
      </w:r>
      <w:r>
        <w:t xml:space="preserve">(3-year mean of 2017–19) =</w:t>
      </w:r>
      <w:r>
        <w:t xml:space="preserve"> </w:t>
      </w:r>
      <w:r>
        <w:rPr>
          <w:b/>
          <w:bCs/>
        </w:rPr>
        <w:t xml:space="preserve">3.342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Trough</w:t>
      </w:r>
      <w:r>
        <w:t xml:space="preserve"> </w:t>
      </w:r>
      <w:r>
        <w:t xml:space="preserve">(min over 2020–22) =</w:t>
      </w:r>
      <w:r>
        <w:t xml:space="preserve"> </w:t>
      </w:r>
      <w:r>
        <w:rPr>
          <w:b/>
          <w:bCs/>
        </w:rPr>
        <w:t xml:space="preserve">2.351</w:t>
      </w:r>
      <w:r>
        <w:t xml:space="preserve"> </w:t>
      </w:r>
      <w:r>
        <w:t xml:space="preserve">at year</w:t>
      </w:r>
      <w:r>
        <w:t xml:space="preserve"> </w:t>
      </w:r>
      <w:r>
        <w:rPr>
          <w:b/>
          <w:bCs/>
        </w:rPr>
        <w:t xml:space="preserve">2020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90% recovery threshold</w:t>
      </w:r>
      <w:r>
        <w:t xml:space="preserve"> </w:t>
      </w:r>
      <w:r>
        <w:t xml:space="preserve">= 0.90 × 3.342 =</w:t>
      </w:r>
      <w:r>
        <w:t xml:space="preserve"> </w:t>
      </w:r>
      <w:r>
        <w:rPr>
          <w:b/>
          <w:bCs/>
        </w:rPr>
        <w:t xml:space="preserve">3.008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Recovery year</w:t>
      </w:r>
      <w:r>
        <w:t xml:space="preserve"> </w:t>
      </w:r>
      <w:r>
        <w:t xml:space="preserve">(first year ≥ 3.008 after the trough) =</w:t>
      </w:r>
      <w:r>
        <w:t xml:space="preserve"> </w:t>
      </w:r>
      <w:r>
        <w:rPr>
          <w:b/>
          <w:bCs/>
        </w:rPr>
        <w:t xml:space="preserve">2022</w:t>
      </w:r>
      <w:r>
        <w:t xml:space="preserve"> </w:t>
      </w:r>
      <w:r>
        <w:t xml:space="preserve">(GACI = 3.023)</w:t>
      </w:r>
    </w:p>
    <w:p>
      <w:pPr>
        <w:pStyle w:val="FirstParagraph"/>
      </w:pPr>
      <w:r>
        <w:t xml:space="preserve">The four resilience-triangle metrics:</w:t>
      </w:r>
    </w:p>
    <w:p>
      <w:pPr>
        <w:pStyle w:val="BodyText"/>
      </w:pPr>
      <w:r>
        <w:rPr>
          <w:b/>
          <w:bCs/>
        </w:rPr>
        <w:t xml:space="preserve">R (Robustness)</w:t>
      </w:r>
      <w:r>
        <w:t xml:space="preserve"> </w:t>
      </w:r>
      <w:r>
        <w:t xml:space="preserve">= 2.351 / 3.342 =</w:t>
      </w:r>
      <w:r>
        <w:t xml:space="preserve"> </w:t>
      </w:r>
      <w:r>
        <w:rPr>
          <w:b/>
          <w:bCs/>
        </w:rPr>
        <w:t xml:space="preserve">0.703</w:t>
      </w:r>
      <w:r>
        <w:t xml:space="preserve"> </w:t>
      </w:r>
      <w:r>
        <w:t xml:space="preserve">→ At the bottom of the COVID dip, LAX retained 70% of its pre-shock GACI.</w:t>
      </w:r>
    </w:p>
    <w:p>
      <w:pPr>
        <w:pStyle w:val="BodyText"/>
      </w:pPr>
      <w:r>
        <w:rPr>
          <w:b/>
          <w:bCs/>
        </w:rPr>
        <w:t xml:space="preserve">T (Rapidity)</w:t>
      </w:r>
      <w:r>
        <w:t xml:space="preserve"> </w:t>
      </w:r>
      <w:r>
        <w:t xml:space="preserve">= 2022 − 2020 =</w:t>
      </w:r>
      <w:r>
        <w:t xml:space="preserve"> </w:t>
      </w:r>
      <w:r>
        <w:rPr>
          <w:b/>
          <w:bCs/>
        </w:rPr>
        <w:t xml:space="preserve">2 years</w:t>
      </w:r>
      <w:r>
        <w:t xml:space="preserve"> </w:t>
      </w:r>
      <w:r>
        <w:t xml:space="preserve">→ LAX took two years to climb back within 10% of its pre-shock level.</w:t>
      </w:r>
    </w:p>
    <w:p>
      <w:pPr>
        <w:pStyle w:val="BodyText"/>
      </w:pPr>
      <w:r>
        <w:rPr>
          <w:b/>
          <w:bCs/>
        </w:rPr>
        <w:t xml:space="preserve">M (Memory)</w:t>
      </w:r>
      <w:r>
        <w:t xml:space="preserve"> </w:t>
      </w:r>
      <w:r>
        <w:t xml:space="preserve">= 3.257 / 3.342 =</w:t>
      </w:r>
      <w:r>
        <w:t xml:space="preserve"> </w:t>
      </w:r>
      <w:r>
        <w:rPr>
          <w:b/>
          <w:bCs/>
        </w:rPr>
        <w:t xml:space="preserve">0.975</w:t>
      </w:r>
      <w:r>
        <w:t xml:space="preserve"> </w:t>
      </w:r>
      <w:r>
        <w:t xml:space="preserve">→ By 2024 LAX had recovered to 97.5% of its pre-shock GACI — close to full normalisation, with a small 2.5% permanent shortfall.</w:t>
      </w:r>
    </w:p>
    <w:p>
      <w:pPr>
        <w:pStyle w:val="BodyText"/>
      </w:pPr>
      <w:r>
        <w:rPr>
          <w:b/>
          <w:bCs/>
        </w:rPr>
        <w:t xml:space="preserve">Λ (Triangle area)</w:t>
      </w:r>
      <w:r>
        <w:t xml:space="preserve"> </w:t>
      </w:r>
      <w:r>
        <w:t xml:space="preserve">= (3.342 − 2.351) + (3.342 − 2.394) =</w:t>
      </w:r>
      <w:r>
        <w:t xml:space="preserve"> </w:t>
      </w:r>
      <w:r>
        <w:rPr>
          <w:b/>
          <w:bCs/>
        </w:rPr>
        <w:t xml:space="preserve">1.939 GACI·year</w:t>
      </w:r>
      <w:r>
        <w:t xml:space="preserve"> </w:t>
      </w:r>
      <w:r>
        <w:t xml:space="preserve">→ The cumulative gap between pre-shock baseline and observed GACI, summed over the dip-to-recovery window. Units are GACI × years.</w:t>
      </w:r>
    </w:p>
    <w:p>
      <w:r>
        <w:pict>
          <v:rect style="width:0;height:1.5pt" o:hralign="center" o:hrstd="t" o:hr="t"/>
        </w:pict>
      </w:r>
    </w:p>
    <w:bookmarkEnd w:id="21"/>
    <w:bookmarkStart w:id="22" w:name="visual-intuition"/>
    <w:p>
      <w:pPr>
        <w:pStyle w:val="Heading2"/>
      </w:pPr>
      <w:r>
        <w:t xml:space="preserve">Visual intuition</w:t>
      </w:r>
    </w:p>
    <w:p>
      <w:pPr>
        <w:pStyle w:val="SourceCode"/>
      </w:pPr>
      <w:r>
        <w:rPr>
          <w:rStyle w:val="VerbatimChar"/>
        </w:rPr>
        <w:t xml:space="preserve">GACI</w:t>
      </w:r>
      <w:r>
        <w:br/>
      </w:r>
      <w:r>
        <w:rPr>
          <w:rStyle w:val="VerbatimChar"/>
        </w:rPr>
        <w:t xml:space="preserve">  ┌──────────────────────────────────────────────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3.4│  ● ─ ● ─ ● ─ ─ ─ ─ ─ ─ ─ ─ ─ ─ ─ ─ ●  ●  ●     ← pre-shock baseline = 3.342</w:t>
      </w:r>
      <w:r>
        <w:br/>
      </w:r>
      <w:r>
        <w:rPr>
          <w:rStyle w:val="VerbatimChar"/>
        </w:rPr>
        <w:t xml:space="preserve">   │                                  ╱</w:t>
      </w:r>
      <w:r>
        <w:br/>
      </w:r>
      <w:r>
        <w:rPr>
          <w:rStyle w:val="VerbatimChar"/>
        </w:rPr>
        <w:t xml:space="preserve">3.2│                                ●</w:t>
      </w:r>
      <w:r>
        <w:br/>
      </w:r>
      <w:r>
        <w:rPr>
          <w:rStyle w:val="VerbatimChar"/>
        </w:rPr>
        <w:t xml:space="preserve">   │                              ╱</w:t>
      </w:r>
      <w:r>
        <w:br/>
      </w:r>
      <w:r>
        <w:rPr>
          <w:rStyle w:val="VerbatimChar"/>
        </w:rPr>
        <w:t xml:space="preserve">3.0│ ─ ─ ─ ─ ─ ─ ─ ─ ─ ─ ─ ─ ─ ─ ╱ ─ ─ ─ ─ ─ ─ ─    ← 90% threshold = 3.008</w:t>
      </w:r>
      <w:r>
        <w:br/>
      </w:r>
      <w:r>
        <w:rPr>
          <w:rStyle w:val="VerbatimChar"/>
        </w:rPr>
        <w:t xml:space="preserve">   │                            ╱     ↑recovery</w:t>
      </w:r>
      <w:r>
        <w:br/>
      </w:r>
      <w:r>
        <w:rPr>
          <w:rStyle w:val="VerbatimChar"/>
        </w:rPr>
        <w:t xml:space="preserve">2.8│                          ╱        (2022)</w:t>
      </w:r>
      <w:r>
        <w:br/>
      </w:r>
      <w:r>
        <w:rPr>
          <w:rStyle w:val="VerbatimChar"/>
        </w:rPr>
        <w:t xml:space="preserve">   │                        ╱</w:t>
      </w:r>
      <w:r>
        <w:br/>
      </w:r>
      <w:r>
        <w:rPr>
          <w:rStyle w:val="VerbatimChar"/>
        </w:rPr>
        <w:t xml:space="preserve">2.6│                      ╱</w:t>
      </w:r>
      <w:r>
        <w:br/>
      </w:r>
      <w:r>
        <w:rPr>
          <w:rStyle w:val="VerbatimChar"/>
        </w:rPr>
        <w:t xml:space="preserve">   │                    ╱</w:t>
      </w:r>
      <w:r>
        <w:br/>
      </w:r>
      <w:r>
        <w:rPr>
          <w:rStyle w:val="VerbatimChar"/>
        </w:rPr>
        <w:t xml:space="preserve">2.4│              ●   ●</w:t>
      </w:r>
      <w:r>
        <w:br/>
      </w:r>
      <w:r>
        <w:rPr>
          <w:rStyle w:val="VerbatimChar"/>
        </w:rPr>
        <w:t xml:space="preserve">   │              ↑   2021</w:t>
      </w:r>
      <w:r>
        <w:br/>
      </w:r>
      <w:r>
        <w:rPr>
          <w:rStyle w:val="VerbatimChar"/>
        </w:rPr>
        <w:t xml:space="preserve">2.2│           trough (2.351, 2020)</w:t>
      </w:r>
      <w:r>
        <w:br/>
      </w:r>
      <w:r>
        <w:rPr>
          <w:rStyle w:val="VerbatimChar"/>
        </w:rPr>
        <w:t xml:space="preserve">   └──┬───┬───┬───┬───┬───┬───┬───┬───</w:t>
      </w:r>
      <w:r>
        <w:br/>
      </w:r>
      <w:r>
        <w:rPr>
          <w:rStyle w:val="VerbatimChar"/>
        </w:rPr>
        <w:t xml:space="preserve">     '17 '18 '19 '20 '21 '22 '23 '24</w:t>
      </w:r>
      <w:r>
        <w:br/>
      </w:r>
      <w:r>
        <w:rPr>
          <w:rStyle w:val="VerbatimChar"/>
        </w:rPr>
        <w:t xml:space="preserve">                  ↑shock onset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</w:t>
      </w:r>
      <w:r>
        <w:t xml:space="preserve"> </w:t>
      </w:r>
      <w:r>
        <w:t xml:space="preserve">= the</w:t>
      </w:r>
      <w:r>
        <w:t xml:space="preserve"> </w:t>
      </w:r>
      <w:r>
        <w:rPr>
          <w:b/>
          <w:bCs/>
        </w:rPr>
        <w:t xml:space="preserve">vertical depth</w:t>
      </w:r>
      <w:r>
        <w:t xml:space="preserve"> </w:t>
      </w:r>
      <w:r>
        <w:t xml:space="preserve">at trough / baseline (how deep)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</w:t>
      </w:r>
      <w:r>
        <w:t xml:space="preserve"> </w:t>
      </w:r>
      <w:r>
        <w:t xml:space="preserve">= the</w:t>
      </w:r>
      <w:r>
        <w:t xml:space="preserve"> </w:t>
      </w:r>
      <w:r>
        <w:rPr>
          <w:b/>
          <w:bCs/>
        </w:rPr>
        <w:t xml:space="preserve">horizontal extent</w:t>
      </w:r>
      <w:r>
        <w:t xml:space="preserve"> </w:t>
      </w:r>
      <w:r>
        <w:t xml:space="preserve">from shock to recovery year (how long)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</w:t>
      </w:r>
      <w:r>
        <w:t xml:space="preserve"> </w:t>
      </w:r>
      <w:r>
        <w:t xml:space="preserve">= the</w:t>
      </w:r>
      <w:r>
        <w:t xml:space="preserve"> </w:t>
      </w:r>
      <w:r>
        <w:rPr>
          <w:b/>
          <w:bCs/>
        </w:rPr>
        <w:t xml:space="preserve">end-state height</w:t>
      </w:r>
      <w:r>
        <w:t xml:space="preserve"> </w:t>
      </w:r>
      <w:r>
        <w:t xml:space="preserve">at 2024 / baseline (how complete the recovery)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Λ</w:t>
      </w:r>
      <w:r>
        <w:t xml:space="preserve"> </w:t>
      </w:r>
      <w:r>
        <w:t xml:space="preserve">= the</w:t>
      </w:r>
      <w:r>
        <w:t xml:space="preserve"> </w:t>
      </w:r>
      <w:r>
        <w:rPr>
          <w:b/>
          <w:bCs/>
        </w:rPr>
        <w:t xml:space="preserve">area</w:t>
      </w:r>
      <w:r>
        <w:t xml:space="preserve"> </w:t>
      </w:r>
      <w:r>
        <w:t xml:space="preserve">between the baseline line and the dipped curve (total cost)</w:t>
      </w:r>
    </w:p>
    <w:p>
      <w:r>
        <w:pict>
          <v:rect style="width:0;height:1.5pt" o:hralign="center" o:hrstd="t" o:hr="t"/>
        </w:pict>
      </w:r>
    </w:p>
    <w:bookmarkEnd w:id="22"/>
    <w:bookmarkStart w:id="23" w:name="one-line-cheat-sheet"/>
    <w:p>
      <w:pPr>
        <w:pStyle w:val="Heading2"/>
      </w:pPr>
      <w:r>
        <w:t xml:space="preserve">One-line cheat sheet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</w:t>
      </w:r>
      <w:r>
        <w:t xml:space="preserve"> </w:t>
      </w:r>
      <w:r>
        <w:t xml:space="preserve">= how much was</w:t>
      </w:r>
      <w:r>
        <w:t xml:space="preserve"> </w:t>
      </w:r>
      <w:r>
        <w:rPr>
          <w:i/>
          <w:iCs/>
        </w:rPr>
        <w:t xml:space="preserve">kept</w:t>
      </w:r>
      <w:r>
        <w:t xml:space="preserve"> </w:t>
      </w:r>
      <w:r>
        <w:t xml:space="preserve">at the worst point (vertical fraction)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</w:t>
      </w:r>
      <w:r>
        <w:t xml:space="preserve"> </w:t>
      </w:r>
      <w:r>
        <w:t xml:space="preserve">= how</w:t>
      </w:r>
      <w:r>
        <w:t xml:space="preserve"> </w:t>
      </w:r>
      <w:r>
        <w:rPr>
          <w:i/>
          <w:iCs/>
        </w:rPr>
        <w:t xml:space="preserve">quickly</w:t>
      </w:r>
      <w:r>
        <w:t xml:space="preserve"> </w:t>
      </w:r>
      <w:r>
        <w:t xml:space="preserve">the airport came back (horizontal length)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</w:t>
      </w:r>
      <w:r>
        <w:t xml:space="preserve"> </w:t>
      </w:r>
      <w:r>
        <w:t xml:space="preserve">= how</w:t>
      </w:r>
      <w:r>
        <w:t xml:space="preserve"> </w:t>
      </w:r>
      <w:r>
        <w:rPr>
          <w:i/>
          <w:iCs/>
        </w:rPr>
        <w:t xml:space="preserve">fully</w:t>
      </w:r>
      <w:r>
        <w:t xml:space="preserve"> </w:t>
      </w:r>
      <w:r>
        <w:t xml:space="preserve">it returned to normal (end-state share)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Λ</w:t>
      </w:r>
      <w:r>
        <w:t xml:space="preserve"> </w:t>
      </w:r>
      <w:r>
        <w:t xml:space="preserve">= the</w:t>
      </w:r>
      <w:r>
        <w:t xml:space="preserve"> </w:t>
      </w:r>
      <w:r>
        <w:rPr>
          <w:i/>
          <w:iCs/>
        </w:rPr>
        <w:t xml:space="preserve">total cost</w:t>
      </w:r>
      <w:r>
        <w:t xml:space="preserve"> </w:t>
      </w:r>
      <w:r>
        <w:t xml:space="preserve">across the dip (area, in GACI·years)</w:t>
      </w:r>
    </w:p>
    <w:p>
      <w:r>
        <w:pict>
          <v:rect style="width:0;height:1.5pt" o:hralign="center" o:hrstd="t" o:hr="t"/>
        </w:pict>
      </w:r>
    </w:p>
    <w:bookmarkEnd w:id="23"/>
    <w:bookmarkStart w:id="24" w:name="edge-cases"/>
    <w:p>
      <w:pPr>
        <w:pStyle w:val="Heading2"/>
      </w:pPr>
      <w:r>
        <w:t xml:space="preserve">Edge cases</w:t>
      </w:r>
    </w:p>
    <w:p>
      <w:pPr>
        <w:pStyle w:val="FirstParagraph"/>
      </w:pPr>
      <w:r>
        <w:rPr>
          <w:b/>
          <w:bCs/>
        </w:rPr>
        <w:t xml:space="preserve">Risers</w:t>
      </w:r>
      <w:r>
        <w:t xml:space="preserve"> </w:t>
      </w:r>
      <w:r>
        <w:t xml:space="preserve">(R &gt; 1, Λ &lt; 0). Some airports actually</w:t>
      </w:r>
      <w:r>
        <w:t xml:space="preserve"> </w:t>
      </w:r>
      <w:r>
        <w:rPr>
          <w:i/>
          <w:iCs/>
        </w:rPr>
        <w:t xml:space="preserve">gain</w:t>
      </w:r>
      <w:r>
        <w:t xml:space="preserve"> </w:t>
      </w:r>
      <w:r>
        <w:t xml:space="preserve">GACI during a shock by absorbing traffic diverted from collapsing neighbors. Examples: MEM, ANC, LEJ (cargo specialists) during COVID; DOH, IST (geo-bypass hubs) during 9/11 and the 2022 Russia airspace closure. For these airports a negative Λ indicates</w:t>
      </w:r>
      <w:r>
        <w:t xml:space="preserve"> </w:t>
      </w:r>
      <w:r>
        <w:rPr>
          <w:i/>
          <w:iCs/>
        </w:rPr>
        <w:t xml:space="preserve">cumulative gain</w:t>
      </w:r>
      <w:r>
        <w:t xml:space="preserve"> </w:t>
      </w:r>
      <w:r>
        <w:t xml:space="preserve">rather than loss. They are flagged as a separate fifth category and analysed under the borrowed-centrality research question (RQ4).</w:t>
      </w:r>
    </w:p>
    <w:p>
      <w:pPr>
        <w:pStyle w:val="BodyText"/>
      </w:pPr>
      <w:r>
        <w:rPr>
          <w:b/>
          <w:bCs/>
        </w:rPr>
        <w:t xml:space="preserve">Never recovered</w:t>
      </w:r>
      <w:r>
        <w:t xml:space="preserve"> </w:t>
      </w:r>
      <w:r>
        <w:t xml:space="preserve">(T undefined). Some airports do not reach the 90% threshold within the sample. For COVID these are mostly tourism-dependent airports and Russian airports under sanctions. We treat T as right-censored at sample-end (T = 2024 − t_shock) and report Λ accumulated through 2024.</w:t>
      </w:r>
    </w:p>
    <w:p>
      <w:r>
        <w:pict>
          <v:rect style="width:0;height:1.5pt" o:hralign="center" o:hrstd="t" o:hr="t"/>
        </w:pict>
      </w:r>
    </w:p>
    <w:bookmarkEnd w:id="24"/>
    <w:bookmarkStart w:id="25" w:name="why-four-numbers-not-one"/>
    <w:p>
      <w:pPr>
        <w:pStyle w:val="Heading2"/>
      </w:pPr>
      <w:r>
        <w:t xml:space="preserve">Why four numbers, not one</w:t>
      </w:r>
    </w:p>
    <w:p>
      <w:pPr>
        <w:pStyle w:val="FirstParagraph"/>
      </w:pPr>
      <w:r>
        <w:t xml:space="preserve">Janić (2022) collapses resilience into a single scalar (R × 1/T). But two airports can have the same scalar score and very different stories: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Airport A</w:t>
      </w:r>
      <w:r>
        <w:t xml:space="preserve">: deep dip but fast bounce-back (R = 0.70, T = 2) — e.g., LAX × COVID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Airport B</w:t>
      </w:r>
      <w:r>
        <w:t xml:space="preserve">: shallow dip but slow recovery (R = 0.85, T = 4) — e.g., a regional airport</w:t>
      </w:r>
    </w:p>
    <w:p>
      <w:pPr>
        <w:pStyle w:val="FirstParagraph"/>
      </w:pPr>
      <w:r>
        <w:t xml:space="preserve">The two might have identical scalar resilience and face entirely different policy implications. Keeping (R, T, M, Λ) as a</w:t>
      </w:r>
      <w:r>
        <w:t xml:space="preserve"> </w:t>
      </w:r>
      <w:r>
        <w:rPr>
          <w:b/>
          <w:bCs/>
        </w:rPr>
        <w:t xml:space="preserve">vector</w:t>
      </w:r>
      <w:r>
        <w:t xml:space="preserve"> </w:t>
      </w:r>
      <w:r>
        <w:t xml:space="preserve">preserves the policy-relevant distinctions, following the recommendation of Reggiani, Nijkamp &amp; Lanzi (2015) for transport-network resilience.</w:t>
      </w:r>
    </w:p>
    <w:p>
      <w:r>
        <w:pict>
          <v:rect style="width:0;height:1.5pt" o:hralign="center" o:hrstd="t" o:hr="t"/>
        </w:pict>
      </w:r>
    </w:p>
    <w:bookmarkEnd w:id="25"/>
    <w:bookmarkStart w:id="26" w:name="computation-summary"/>
    <w:p>
      <w:pPr>
        <w:pStyle w:val="Heading2"/>
      </w:pPr>
      <w:r>
        <w:t xml:space="preserve">Computation summary</w:t>
      </w:r>
    </w:p>
    <w:p>
      <w:pPr>
        <w:pStyle w:val="FirstParagraph"/>
      </w:pPr>
      <w:r>
        <w:t xml:space="preserve">For airport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and shock</w:t>
      </w:r>
      <w:r>
        <w:t xml:space="preserve"> </w:t>
      </w:r>
      <w:r>
        <w:rPr>
          <w:i/>
          <w:iCs/>
        </w:rPr>
        <w:t xml:space="preserve">s</w:t>
      </w:r>
      <w:r>
        <w:t xml:space="preserve"> </w:t>
      </w:r>
      <w:r>
        <w:t xml:space="preserve">with pre-window [t_s−3, t_s−1] and post-window [t_s, t_s+2]:</w:t>
      </w:r>
    </w:p>
    <w:p>
      <w:pPr>
        <w:pStyle w:val="SourceCode"/>
      </w:pPr>
      <w:r>
        <w:rPr>
          <w:rStyle w:val="VerbatimChar"/>
        </w:rPr>
        <w:t xml:space="preserve">pre        = mean(GACI_i over [t_s−3, t_s−1])</w:t>
      </w:r>
      <w:r>
        <w:br/>
      </w:r>
      <w:r>
        <w:rPr>
          <w:rStyle w:val="VerbatimChar"/>
        </w:rPr>
        <w:t xml:space="preserve">trough     = min(GACI_i over [t_s, t_s+2])</w:t>
      </w:r>
      <w:r>
        <w:br/>
      </w:r>
      <w:r>
        <w:rPr>
          <w:rStyle w:val="VerbatimChar"/>
        </w:rPr>
        <w:t xml:space="preserve">threshold  = 0.90 × pre                          (90% main; 80%, 95% as sensitivity)</w:t>
      </w:r>
      <w:r>
        <w:br/>
      </w:r>
      <w:r>
        <w:rPr>
          <w:rStyle w:val="VerbatimChar"/>
        </w:rPr>
        <w:t xml:space="preserve">t_rec      = first year t &gt; t_trough with GACI_i(t) ≥ threshold</w:t>
      </w:r>
      <w:r>
        <w:br/>
      </w:r>
      <w:r>
        <w:rPr>
          <w:rStyle w:val="VerbatimChar"/>
        </w:rPr>
        <w:t xml:space="preserve">                                                  (right-censored at 2024 if not reached)</w:t>
      </w:r>
      <w:r>
        <w:br/>
      </w:r>
      <w:r>
        <w:rPr>
          <w:rStyle w:val="VerbatimChar"/>
        </w:rPr>
        <w:t xml:space="preserve">R_i,s      = trough / pre</w:t>
      </w:r>
      <w:r>
        <w:br/>
      </w:r>
      <w:r>
        <w:rPr>
          <w:rStyle w:val="VerbatimChar"/>
        </w:rPr>
        <w:t xml:space="preserve">T_i,s      = t_rec − t_s</w:t>
      </w:r>
      <w:r>
        <w:br/>
      </w:r>
      <w:r>
        <w:rPr>
          <w:rStyle w:val="VerbatimChar"/>
        </w:rPr>
        <w:t xml:space="preserve">M_i,s      = GACI_i(2024) / pre</w:t>
      </w:r>
      <w:r>
        <w:br/>
      </w:r>
      <w:r>
        <w:rPr>
          <w:rStyle w:val="VerbatimChar"/>
        </w:rPr>
        <w:t xml:space="preserve">Λ_i,s      = Σ over years t in [t_s, t_rec] of max(0, pre − GACI_i(t))</w:t>
      </w:r>
    </w:p>
    <w:p>
      <w:pPr>
        <w:pStyle w:val="FirstParagraph"/>
      </w:pPr>
      <w:r>
        <w:t xml:space="preserve">The same four metrics are computed separately for each of the five sub-components of GACI (Degree, Eigen, NorClose, NorBetweenness, RegionalImportance), enabling the centrality-fragility mapping.</w:t>
      </w:r>
    </w:p>
    <w:p>
      <w:r>
        <w:pict>
          <v:rect style="width:0;height:1.5pt" o:hralign="center" o:hrstd="t" o:hr="t"/>
        </w:pict>
      </w:r>
    </w:p>
    <w:bookmarkEnd w:id="26"/>
    <w:bookmarkStart w:id="27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5"/>
        </w:numPr>
      </w:pPr>
      <w:r>
        <w:t xml:space="preserve">Bruneau, M., Chang, S.E., Eguchi, R.T., Lee, G.C., O’Rourke, T.D., Reinhorn, A.M., Shinozuka, M., Tierney, K., Wallace, W.A., von Winterfeldt, D. (2003). A framework to quantitatively assess and enhance the seismic resilience of communities.</w:t>
      </w:r>
      <w:r>
        <w:t xml:space="preserve"> </w:t>
      </w:r>
      <w:r>
        <w:rPr>
          <w:i/>
          <w:iCs/>
        </w:rPr>
        <w:t xml:space="preserve">Earthquake Spectra</w:t>
      </w:r>
      <w:r>
        <w:t xml:space="preserve">, 19(4), 733–752.</w:t>
      </w:r>
    </w:p>
    <w:p>
      <w:pPr>
        <w:pStyle w:val="Compact"/>
        <w:numPr>
          <w:ilvl w:val="0"/>
          <w:numId w:val="1005"/>
        </w:numPr>
      </w:pPr>
      <w:r>
        <w:t xml:space="preserve">Cimellaro, G.P., Reinhorn, A.M., Bruneau, M. (2010). Framework for analytical quantification of disaster resilience.</w:t>
      </w:r>
      <w:r>
        <w:t xml:space="preserve"> </w:t>
      </w:r>
      <w:r>
        <w:rPr>
          <w:i/>
          <w:iCs/>
        </w:rPr>
        <w:t xml:space="preserve">Engineering Structures</w:t>
      </w:r>
      <w:r>
        <w:t xml:space="preserve">, 32(11), 3639–3649.</w:t>
      </w:r>
    </w:p>
    <w:p>
      <w:pPr>
        <w:pStyle w:val="Compact"/>
        <w:numPr>
          <w:ilvl w:val="0"/>
          <w:numId w:val="1005"/>
        </w:numPr>
      </w:pPr>
      <w:r>
        <w:t xml:space="preserve">Reggiani, A., Nijkamp, P., Lanzi, D. (2015). Transport resilience and vulnerability: the role of connectivity.</w:t>
      </w:r>
      <w:r>
        <w:t xml:space="preserve"> </w:t>
      </w:r>
      <w:r>
        <w:rPr>
          <w:i/>
          <w:iCs/>
        </w:rPr>
        <w:t xml:space="preserve">Transportation Research Part A</w:t>
      </w:r>
      <w:r>
        <w:t xml:space="preserve">, 81, 4–15.</w:t>
      </w:r>
    </w:p>
    <w:p>
      <w:pPr>
        <w:pStyle w:val="Compact"/>
        <w:numPr>
          <w:ilvl w:val="0"/>
          <w:numId w:val="1005"/>
        </w:numPr>
      </w:pPr>
      <w:r>
        <w:t xml:space="preserve">Janić, M. (2022). Analysis and modelling of airport resilience, robustness, and vulnerability: impact of COVID-19 pandemic disease.</w:t>
      </w:r>
      <w:r>
        <w:t xml:space="preserve"> </w:t>
      </w:r>
      <w:r>
        <w:rPr>
          <w:i/>
          <w:iCs/>
        </w:rPr>
        <w:t xml:space="preserve">The Aeronautical Journal</w:t>
      </w:r>
      <w:r>
        <w:t xml:space="preserve">, 126(1304), 1924–1953.</w:t>
      </w:r>
    </w:p>
    <w:p>
      <w:pPr>
        <w:pStyle w:val="Compact"/>
        <w:numPr>
          <w:ilvl w:val="0"/>
          <w:numId w:val="1005"/>
        </w:numPr>
      </w:pPr>
      <w:r>
        <w:t xml:space="preserve">Cheung, T.K.Y., Wong, C.W.H., Zhang, A. (2020). The evolution of aviation network: Global airport connectivity index 2006–2016.</w:t>
      </w:r>
      <w:r>
        <w:t xml:space="preserve"> </w:t>
      </w:r>
      <w:r>
        <w:rPr>
          <w:i/>
          <w:iCs/>
        </w:rPr>
        <w:t xml:space="preserve">Transportation Research Part E</w:t>
      </w:r>
      <w:r>
        <w:t xml:space="preserve">, 133, 101826.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2026-05-15T05:11:40Z</dcterms:created>
  <dcterms:modified xsi:type="dcterms:W3CDTF">2026-05-15T05:11:40Z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