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Times New Roman" w:cs="Times New Roman" w:eastAsia="Times New Roman" w:hAnsi="Times New Roman"/>
        </w:rPr>
        <w:t xml:space="preserve">Is air connectivity clean connectivity? Core results</w:t>
      </w:r>
    </w:p>
    <w:p>
      <w:r>
        <w:rPr>
          <w:rFonts w:ascii="Times New Roman" w:cs="Times New Roman" w:eastAsia="Times New Roman" w:hAnsi="Times New Roman"/>
          <w:sz w:val="20"/>
          <w:szCs w:val="20"/>
        </w:rPr>
        <w:t xml:space="preserve">Unified sample: 149 countries, 1996–2019 (country-years with all Table 1 outcomes and both instruments observed; 3,425 observations). Dependent variables: CEDS SO2 and NOx, WDI renewable share, OWID/EI CO2 and energy. Air connectivity = log of the seat-weighted mean GACI of a country's airports. All regressions include country and year fixed effects, ln population, ln GDP per capita and its square; standard errors clustered by country.</w:t>
      </w:r>
    </w:p>
    <w:p>
      <w:pPr>
        <w:pStyle w:val="Heading2"/>
        <w:spacing w:before="240"/>
      </w:pPr>
      <w:r>
        <w:rPr>
          <w:rFonts w:ascii="Times New Roman" w:cs="Times New Roman" w:eastAsia="Times New Roman" w:hAnsi="Times New Roman"/>
        </w:rPr>
        <w:t xml:space="preserve">Research question</w:t>
      </w:r>
    </w:p>
    <w:p>
      <w:pPr>
        <w:spacing w:after="120"/>
      </w:pPr>
      <w:r>
        <w:rPr>
          <w:rFonts w:ascii="Times New Roman" w:cs="Times New Roman" w:eastAsia="Times New Roman" w:hAnsi="Times New Roman"/>
          <w:sz w:val="20"/>
          <w:szCs w:val="20"/>
        </w:rPr>
        <w:t xml:space="preserve">Is air connectivity clean connectivity? Trade and openness have ambiguous effects on the environment because scale, composition and technique effects pull in different directions (Grossman and Krueger 1993; Antweiler, Copeland and Taylor 2001; Managi, Hibiki and Tsurumi 2009). This paper asks a narrower question: when a country becomes more central in the global air network, does the pollution and carbon intensity of its economy fall, and if so through which of the three channels?</w:t>
      </w:r>
    </w:p>
    <w:p>
      <w:pPr>
        <w:spacing w:after="120"/>
      </w:pPr>
      <w:r>
        <w:rPr>
          <w:rFonts w:ascii="Times New Roman" w:cs="Times New Roman" w:eastAsia="Times New Roman" w:hAnsi="Times New Roman"/>
          <w:sz w:val="20"/>
          <w:szCs w:val="20"/>
        </w:rPr>
        <w:t xml:space="preserve">Air connectivity is measured with the Global Air Connectivity Index (GACI), a within-year standardised composite of degree, betweenness, closeness, eigenvector and regional-importance centrality of each airport, aggregated to the country by seat-weighted mean. Because aviation itself emits under 3% of national CO2 and a negligible share of SO2, any effect on national intensities must run through the economy, not through aircraft.</w:t>
      </w:r>
    </w:p>
    <w:p>
      <w:pPr>
        <w:spacing w:after="120"/>
      </w:pPr>
      <w:r>
        <w:rPr>
          <w:rFonts w:ascii="Times New Roman" w:cs="Times New Roman" w:eastAsia="Times New Roman" w:hAnsi="Times New Roman"/>
          <w:sz w:val="20"/>
          <w:szCs w:val="20"/>
        </w:rPr>
        <w:t xml:space="preserve">Hypotheses. H1 (clean connectivity): higher air connectivity lowers SO2, NOx and CO2 per unit of GDP and raises the renewable share. H2 (technique, not composition): the reduction occurs within fuels, as lower emissions per unit of fuel burned, and is not explained by shifts in industrial structure. H3 (where): the effect is concentrated in goods-producing economies that have plants and power stations to retrofit, not in service economies.</w:t>
      </w:r>
    </w:p>
    <w:p>
      <w:pPr>
        <w:spacing w:after="120"/>
      </w:pPr>
      <w:r>
        <w:rPr>
          <w:rFonts w:ascii="Times New Roman" w:cs="Times New Roman" w:eastAsia="Times New Roman" w:hAnsi="Times New Roman"/>
          <w:sz w:val="20"/>
          <w:szCs w:val="20"/>
        </w:rPr>
        <w:t xml:space="preserve">Design. Country-year panel, 149 countries, 1996–2019 (unified sample). ln y = b ln GACI + ln pop + ln GDP pc + (ln GDP pc)^2 + country FE + year FE, standard errors clustered by country. Tables 1–4 and the Appendix are fixed-effects OLS. Table 5 is instrumental variables: GACI is instrumented by Feyrer-type air market access, which interacts a country's fixed geography (its great-circle distances to all other markets relative to sea distances) with the world-wide growth of air traffic, so that it moves only with global technology and not with the country's own policies or outcomes; the second instrument, UNESCO natural and mixed heritage sites times world tourist arrivals, is weak in this sample and enters only the over-identified model. The GACI coefficient is an elasticity; one within-country standard deviation of ln GACI is 0.07, so a one-SD move changes an outcome by about 7% of the coefficient.</w:t>
      </w:r>
    </w:p>
    <w:p>
      <w:pPr>
        <w:pStyle w:val="Heading2"/>
        <w:pageBreakBefore/>
      </w:pPr>
      <w:r>
        <w:rPr>
          <w:rFonts w:ascii="Times New Roman" w:cs="Times New Roman" w:eastAsia="Times New Roman" w:hAnsi="Times New Roman"/>
        </w:rPr>
        <w:t xml:space="preserve">Why air connectivity?</w:t>
      </w:r>
    </w:p>
    <w:p>
      <w:pPr>
        <w:spacing w:after="120"/>
      </w:pPr>
      <w:r>
        <w:rPr>
          <w:rFonts w:ascii="Times New Roman" w:cs="Times New Roman" w:eastAsia="Times New Roman" w:hAnsi="Times New Roman"/>
          <w:sz w:val="20"/>
          <w:szCs w:val="20"/>
        </w:rPr>
        <w:t xml:space="preserve">Openness reaches a country through two physical networks that carry different things. Ships move goods: over 80% of world trade by volume travels by sea, and the goods that travel by sea are the heavy, energy- and pollution-intensive ones (ores, fuels, steel, chemicals, cement). Aircraft move people and ideas: almost all intercontinental passenger travel is by air, and air cargo is about a third of world trade by value but under one percent by weight (IATA), concentrated in electronics, pharmaceuticals and precision machinery. The trade-and-environment literature measures openness with trade volumes, which bundle these two networks together and therefore cannot tell whether the environmental effect of openness comes from the goods that arrive by ship or from the people and knowledge that arrive by plane.</w:t>
      </w:r>
    </w:p>
    <w:p>
      <w:pPr>
        <w:spacing w:after="120"/>
      </w:pPr>
      <w:r>
        <w:rPr>
          <w:rFonts w:ascii="Times New Roman" w:cs="Times New Roman" w:eastAsia="Times New Roman" w:hAnsi="Times New Roman"/>
          <w:sz w:val="20"/>
          <w:szCs w:val="20"/>
        </w:rPr>
        <w:t xml:space="preserve">Air connectivity isolates the people-and-knowledge channel. Business travel is a documented engine of technology diffusion (Hovhannisyan and Keller 2015), new direct air links raise firm-to-firm connections and local growth (Campante and Yanagizawa-Drott 2018), face-to-face contact is necessary for trading complex goods and services (Cristea 2011), and the opening of airspace increased trade in exactly the goods that need in-person coordination (Söderlund 2023). Abatement technology is this kind of knowledge: flue-gas desulphurisation, low-sulphur refining, combined-cycle plants and wind and solar projects are installed by vendors, engineers, consultants and financiers who travel, and the standards that mandate them are copied by regulators who meet. If air connectivity transmits anything to the environment, the technique effect is where it should appear.</w:t>
      </w:r>
    </w:p>
    <w:p>
      <w:pPr>
        <w:spacing w:after="120"/>
      </w:pPr>
      <w:r>
        <w:rPr>
          <w:rFonts w:ascii="Times New Roman" w:cs="Times New Roman" w:eastAsia="Times New Roman" w:hAnsi="Times New Roman"/>
          <w:sz w:val="20"/>
          <w:szCs w:val="20"/>
        </w:rPr>
        <w:t xml:space="preserve">The question matters for policy because aviation is regulated for its own emissions. Ticket taxes, ETS coverage and route restrictions are justified by aircraft CO2, which is about 2.5% of the global total. Our companion paper on European aviation taxes finds that these taxes reduce seats and connectivity at small airports. Whether that is a net environmental gain depends on whether connectivity has an economy-wide clean effect that the aircraft-only accounting omits. For developing countries the same question arises in reverse: open-skies agreements and airport investment are evaluated on tourism and trade, and an environmental co-benefit through faster adoption of clean technology would change that evaluation.</w:t>
      </w:r>
    </w:p>
    <w:p>
      <w:pPr>
        <w:spacing w:after="120"/>
      </w:pPr>
      <w:r>
        <w:rPr>
          <w:rFonts w:ascii="Times New Roman" w:cs="Times New Roman" w:eastAsia="Times New Roman" w:hAnsi="Times New Roman"/>
          <w:sz w:val="20"/>
          <w:szCs w:val="20"/>
        </w:rPr>
        <w:t xml:space="preserve">GACI is the right measure for this question because it captures a country's position in the network, not the volume of its traffic. It is a within-year standardised composite of degree, betweenness, closeness, eigenvector and regional-importance centrality of each airport, so a country's value rises when its airports become better connected to the rest of the network relative to other countries' airports. That is the relevant object for knowledge flows: what matters is who a country's firms, engineers and officials can reach in a day, not how many seats depart. Seat volume (Appendix Table 2) and the geographic sea-connectivity controls (Appendix Table 1) are reported to show that the results come from network position rather than from traffic or from maritime access.</w:t>
      </w:r>
    </w:p>
    <w:p>
      <w:pPr>
        <w:pStyle w:val="Heading2"/>
        <w:pageBreakBefore/>
      </w:pPr>
      <w:r>
        <w:rPr>
          <w:rFonts w:ascii="Times New Roman" w:cs="Times New Roman" w:eastAsia="Times New Roman" w:hAnsi="Times New Roman"/>
        </w:rPr>
        <w:t xml:space="preserve">What GACI is and how to read it</w:t>
      </w:r>
    </w:p>
    <w:p>
      <w:pPr>
        <w:spacing w:after="120"/>
      </w:pPr>
      <w:r>
        <w:rPr>
          <w:rFonts w:ascii="Times New Roman" w:cs="Times New Roman" w:eastAsia="Times New Roman" w:hAnsi="Times New Roman"/>
          <w:sz w:val="20"/>
          <w:szCs w:val="20"/>
        </w:rPr>
        <w:t xml:space="preserve">GACI (Global Air Connectivity Index) is an airport-level index of position in the world air network, built from OAG scheduled-service data for about 3,500 airports a year, 1996–2024. For each year the scheduled network is a weighted graph: nodes are airports, edges are routes, edge weights are seat capacity. Five centrality measures are computed for every airport: degree (number of destinations), flow betweenness (how much indirect traffic routes through the airport, the hub measure), closeness (how few connections are needed to reach the rest of the network), eigenvector centrality (connection to other well-connected airports) and regional importance (the airport's share of its region's capacity). Figure 1(a) illustrates the objects on a toy network; a hub such as HKG scores high on betweenness because flows between Europe and Australasia pass through it.</w:t>
      </w:r>
    </w:p>
    <w:p>
      <w:pPr>
        <w:spacing w:after="120"/>
      </w:pPr>
      <w:r>
        <w:rPr>
          <w:rFonts w:ascii="Times New Roman" w:cs="Times New Roman" w:eastAsia="Times New Roman" w:hAnsi="Times New Roman"/>
          <w:sz w:val="20"/>
          <w:szCs w:val="20"/>
        </w:rPr>
        <w:t xml:space="preserve">The five measures are combined by principal components within each year. Figure 1(b) shows that the first component carries 73–77% of the variance and loads almost equally on the five measures (weights 0.38–0.49) in every year, so GACI is in effect an equally weighted standardised average of the five centralities. Because the PCA is run year by year on standardised inputs, GACI is a relative measure: it tells us where an airport stands in that year's network, not how many flights it has. An airport whose traffic grows at the world average rate keeps a constant GACI; GACI rises only when the airport becomes more central relative to others.</w:t>
      </w:r>
    </w:p>
    <w:p>
      <w:pPr>
        <w:spacing w:before="120"/>
        <w:jc w:val="center"/>
      </w:pPr>
      <w:r>
        <w:drawing>
          <wp:inline distT="0" distB="0" distL="0" distR="0">
            <wp:extent cx="5905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371725"/>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1. Construction of GACI. (a) Network objects on a toy graph. (b) Year-by-year first-principal-component loadings and variance share, 1996–2023.</w:t>
      </w:r>
    </w:p>
    <w:p>
      <w:pPr>
        <w:spacing w:after="120"/>
      </w:pPr>
      <w:r>
        <w:rPr>
          <w:rFonts w:ascii="Times New Roman" w:cs="Times New Roman" w:eastAsia="Times New Roman" w:hAnsi="Times New Roman"/>
          <w:sz w:val="20"/>
          <w:szCs w:val="20"/>
        </w:rPr>
        <w:t xml:space="preserve">For the country-level analysis we take the seat-weighted mean of GACI across a country's airports (cwm) and use its log. Weighting by seats means the index describes the airports that actually carry the country's traffic; Appendix Table 2 shows that the unweighted mean, which gives a small regional field the same weight as the main hub, is a weaker regressor. Figure 2 shows the country series for six economies. Germany and the United States are flat, because their position was already central and grew with the world. The UAE, Türkiye, China and Ethiopia rise steeply as Dubai, Istanbul, the Chinese secondary cities and Addis Ababa became hubs. This is the within-country variation the fixed-effects regressions use: a country's GACI changes when its network position changes relative to the rest of the world.</w:t>
      </w:r>
    </w:p>
    <w:p>
      <w:pPr>
        <w:spacing w:before="120"/>
        <w:jc w:val="center"/>
      </w:pPr>
      <w:r>
        <w:drawing>
          <wp:inline distT="0" distB="0" distL="0" distR="0">
            <wp:extent cx="5905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20040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2. ln GACI (seat-weighted country mean) for six countries, 1996–2019.</w:t>
      </w:r>
    </w:p>
    <w:p>
      <w:pPr>
        <w:spacing w:after="120"/>
      </w:pPr>
      <w:r>
        <w:rPr>
          <w:rFonts w:ascii="Times New Roman" w:cs="Times New Roman" w:eastAsia="Times New Roman" w:hAnsi="Times New Roman"/>
          <w:sz w:val="20"/>
          <w:szCs w:val="20"/>
        </w:rPr>
        <w:t xml:space="preserve">Two consequences for reading the tables. First, the within-country standard deviation of ln GACI is small, 0.07, because most countries' relative position moves slowly; coefficients therefore look large per log unit and should be read as effects of a 7% change in connectivity, which is roughly what Türkiye or China achieved in a typical five-year window. Second, because GACI is relative and within-year standardised, designs that compare countries only within their own region-year or income-group-year remove much of its variation (Appendix Table 1); we report them as the boundary of the country panel.</w:t>
      </w:r>
    </w:p>
    <w:p>
      <w:pPr>
        <w:spacing w:after="120"/>
      </w:pPr>
      <w:r>
        <w:rPr>
          <w:rFonts w:ascii="Times New Roman" w:cs="Times New Roman" w:eastAsia="Times New Roman" w:hAnsi="Times New Roman"/>
          <w:sz w:val="20"/>
          <w:szCs w:val="20"/>
        </w:rPr>
        <w:t xml:space="preserve">Figure 3 shows the main result as a binned scatter. Both axes are residuals after country and year fixed effects and the income and population controls (Frisch–Waugh–Lovell), so each point is the mean of about 140 country-years with similar connectivity residuals. The downward slope in panel (a) is the Table 1 coefficient on SO2 intensity; panel (b) shows the same relation for SO2 per unit of oil burned, the emission-factor outcome of Table 2 that isolates the technique effect. The relation is approximately linear and is not driven by a few extreme bins.</w:t>
      </w:r>
    </w:p>
    <w:p>
      <w:pPr>
        <w:spacing w:before="120"/>
        <w:jc w:val="center"/>
      </w:pPr>
      <w:r>
        <w:drawing>
          <wp:inline distT="0" distB="0" distL="0" distR="0">
            <wp:extent cx="59055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0035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3. Binned scatter of the within-country relation between ln GACI and (a) ln SO2/GDP, (b) ln SO2 per unit of oil CO2. Unified sample, 25 bins; line is the regression slope.</w:t>
      </w:r>
    </w:p>
    <w:p>
      <w:pPr>
        <w:spacing w:after="120"/>
      </w:pPr>
      <w:r>
        <w:rPr>
          <w:rFonts w:ascii="Times New Roman" w:cs="Times New Roman" w:eastAsia="Times New Roman" w:hAnsi="Times New Roman"/>
          <w:sz w:val="20"/>
          <w:szCs w:val="20"/>
        </w:rPr>
        <w:t xml:space="preserve">Figure 4 maps the tables onto the scale–composition–technique decomposition that organises the paper. Scale and composition are tested and rejected in Tables 2 and 3; technique is where the effect appears. Table 4 says where (goods-producing economies), Table 5 confirms the direction with an instrument.</w:t>
      </w:r>
    </w:p>
    <w:p>
      <w:pPr>
        <w:spacing w:before="12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9550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4. Which table tests which channel.</w:t>
      </w:r>
    </w:p>
    <w:p>
      <w:pPr>
        <w:pStyle w:val="Heading2"/>
        <w:pageBreakBefore/>
      </w:pPr>
      <w:r>
        <w:rPr>
          <w:rFonts w:ascii="Times New Roman" w:cs="Times New Roman" w:eastAsia="Times New Roman" w:hAnsi="Times New Roman"/>
        </w:rPr>
        <w:t xml:space="preserve">Global aggregate: what the elasticity implies</w:t>
      </w:r>
    </w:p>
    <w:p>
      <w:pPr>
        <w:spacing w:after="120"/>
      </w:pPr>
      <w:r>
        <w:rPr>
          <w:rFonts w:ascii="Times New Roman" w:cs="Times New Roman" w:eastAsia="Times New Roman" w:hAnsi="Times New Roman"/>
          <w:sz w:val="20"/>
          <w:szCs w:val="20"/>
        </w:rPr>
        <w:t xml:space="preserve">Figure 5 puts the two sides of the result on a map. Panel (a) is the change in ln GACI between the first and last year a country appears in the unified sample (1996 to 2019 for most). Connectivity gains were largest in the Gulf, Türkiye, China, Korea and Eastern Europe, and were negative in parts of Latin America, the Sahel and conflict countries (Syria, Yemen, Venezuela). Panel (b) is the observed change in ln SO2/GDP over the same window. The two maps are mirror images in East Asia, the Gulf and Europe, where connectivity rose and SO2 intensity collapsed; they also agree in the countries where connectivity fell and SO2 intensity did not improve.</w:t>
      </w:r>
    </w:p>
    <w:p>
      <w:pPr>
        <w:spacing w:before="120"/>
        <w:jc w:val="center"/>
      </w:pPr>
      <w:r>
        <w:drawing>
          <wp:inline distT="0" distB="0" distL="0" distR="0">
            <wp:extent cx="5334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57200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5. (a) Change in ln GACI and (b) observed change in ln SO2/GDP, first to last sample year. Grey: outside the unified sample.</w:t>
      </w:r>
    </w:p>
    <w:p>
      <w:pPr>
        <w:spacing w:after="120"/>
      </w:pPr>
      <w:r>
        <w:rPr>
          <w:rFonts w:ascii="Times New Roman" w:cs="Times New Roman" w:eastAsia="Times New Roman" w:hAnsi="Times New Roman"/>
          <w:sz w:val="20"/>
          <w:szCs w:val="20"/>
        </w:rPr>
        <w:t xml:space="preserve">A back-of-the-envelope aggregate follows from the Table 1 elasticity. Holding each country's connectivity at its initial level and applying the point estimate of −0.94 to its observed change in ln GACI, SO2 emissions in the final year would have been about 19 Mt higher than observed, which is 28% of final-year SO2 in the sample and roughly half of the 37 Mt decline recorded between 1996 and 2019. The 95% band is wide, from 3 Mt (9% of the decline) to 41 Mt, because the elasticity is estimated with a standard error of 0.38. By region the implied reduction in SO2 intensity is 18–19% in Asia and Europe, 15% in the Middle East, 6–8% in Africa and Latin America; in tonnes it is dominated by China (7.2 Mt), India, Russia, Saudi Arabia and Türkiye.</w:t>
      </w:r>
    </w:p>
    <w:p>
      <w:pPr>
        <w:spacing w:after="120"/>
      </w:pPr>
      <w:r>
        <w:rPr>
          <w:rFonts w:ascii="Times New Roman" w:cs="Times New Roman" w:eastAsia="Times New Roman" w:hAnsi="Times New Roman"/>
          <w:sz w:val="20"/>
          <w:szCs w:val="20"/>
        </w:rPr>
        <w:t xml:space="preserve">This exercise is an accounting illustration, not a causal decomposition of the global SO2 decline: it extrapolates a within-country elasticity linearly to changes two to three times the within-country standard deviation, and it attributes to connectivity whatever the fixed-effects regression attributes to it. Its purpose is to show that the coefficient is economically meaningful at the scale of the actual network changes of the period, not that air connectivity explains half of global desulphurisation.</w:t>
      </w:r>
    </w:p>
    <w:p>
      <w:pPr>
        <w:pStyle w:val="Heading2"/>
        <w:pageBreakBefore/>
      </w:pPr>
      <w:r>
        <w:rPr>
          <w:rFonts w:ascii="Times New Roman" w:cs="Times New Roman" w:eastAsia="Times New Roman" w:hAnsi="Times New Roman"/>
        </w:rPr>
        <w:t xml:space="preserve">Table 1. Air connectivity and the pollution and carbon intensity of the economy, 1996–2019</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Air connectivity is associated with cleaner production per unit of GDP: a 1% higher GACI lowers SO2 intensity by about 0.9% and NOx intensity by 0.3%, raises the renewable share by 8 points per log unit, and lowers CO2 and energy intensity by about 0.3%. The fuel mix (CO2 per unit of energy) does not move. One within-country SD of connectivity translates into 7% lower SO2 intensity and 2 to 3% lower carbon and energy intensity. The income terms trace the usual inverted-U Kuznets curve.</w:t>
      </w:r>
    </w:p>
    <w:tbl>
      <w:tblPr>
        <w:tblW w:type="dxa" w:w="13679"/>
        <w:tblBorders>
          <w:top w:val="single" w:color="auto" w:sz="4"/>
          <w:left w:val="single" w:color="auto" w:sz="4"/>
          <w:bottom w:val="single" w:color="auto" w:sz="4"/>
          <w:right w:val="single" w:color="auto" w:sz="4"/>
          <w:insideH w:val="single" w:color="auto" w:sz="4"/>
          <w:insideV w:val="single" w:color="auto" w:sz="4"/>
        </w:tblBorders>
      </w:tblPr>
      <w:tblGrid>
        <w:gridCol w:w="3830"/>
        <w:gridCol w:w="1407"/>
        <w:gridCol w:w="1407"/>
        <w:gridCol w:w="1407"/>
        <w:gridCol w:w="1407"/>
        <w:gridCol w:w="1407"/>
        <w:gridCol w:w="1407"/>
        <w:gridCol w:w="1407"/>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 pc</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energy/GDP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CO2/energy</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-0.986***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7.950**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(0.352)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(3.530)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GDP pc</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3.789***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4.976***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1.473***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-59.600***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3.122***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1.301*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1.817***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(0.838)</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(0.840)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(0.441)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(9.606)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(0.591)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(0.747)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GDP pc)²</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-0.267***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-0.260***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2.947***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-0.094**</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-0.106***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(0.587)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1 within-SD effect</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+0.6pp</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Within-country SD of ln GACI = 0.071. SO2 and NOx from CEDS (to 2019); renewable share from WDI; CO2 and energy from OWID/EI.</w:t>
      </w:r>
    </w:p>
    <w:p>
      <w:pPr>
        <w:pStyle w:val="Heading2"/>
        <w:pageBreakBefore/>
      </w:pPr>
      <w:r>
        <w:rPr>
          <w:rFonts w:ascii="Times New Roman" w:cs="Times New Roman" w:eastAsia="Times New Roman" w:hAnsi="Times New Roman"/>
        </w:rPr>
        <w:t xml:space="preserve">Table 2. Technique, not scale: SO2 emission factors by fuel</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SO2 reduction is a technique effect in the Antweiler–Copeland–Taylor sense: coal combustion does not fall (if anything it rises), yet SO2 emitted per unit of coal and oil burned falls by roughly 1% per 1% of GACI. Because a fuel's emission factor depends only on its sulphur content and on end-of-pipe desulphurisation, this isolates abatement technology and fuel standards. Process SO2 from smelters and refineries, whose location is fixed by geology, does not respond, which serves as a placebo.</w:t>
      </w:r>
    </w:p>
    <w:tbl>
      <w:tblPr>
        <w:tblW w:type="dxa" w:w="13679"/>
        <w:tblBorders>
          <w:top w:val="single" w:color="auto" w:sz="4"/>
          <w:left w:val="single" w:color="auto" w:sz="4"/>
          <w:bottom w:val="single" w:color="auto" w:sz="4"/>
          <w:right w:val="single" w:color="auto" w:sz="4"/>
          <w:insideH w:val="single" w:color="auto" w:sz="4"/>
          <w:insideV w:val="single" w:color="auto" w:sz="4"/>
        </w:tblBorders>
      </w:tblPr>
      <w:tblGrid>
        <w:gridCol w:w="3830"/>
        <w:gridCol w:w="1407"/>
        <w:gridCol w:w="1407"/>
        <w:gridCol w:w="1407"/>
        <w:gridCol w:w="1407"/>
        <w:gridCol w:w="1407"/>
        <w:gridCol w:w="1407"/>
        <w:gridCol w:w="1407"/>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coal CO2 (scale)</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SO2/coal 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SO2/oil 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SO2/fossil 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process SO2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Coal share of SO2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0.779*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-1.105**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-0.862***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-0.872***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-0.067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(0.418)</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(0.437)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(0.046)</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2,517</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2,336</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3,421</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2,221</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3,405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122</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111</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101</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148</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Emission factor = CEDS SO2 from a fuel divided by OWID CO2 from the same fuel (CO2 proxies combustion volume; the ratio moves only with sulphur content and abatement). Process SO2 = smelting and refining.</w:t>
      </w:r>
    </w:p>
    <w:p>
      <w:pPr>
        <w:pStyle w:val="Heading2"/>
        <w:pageBreakBefore/>
      </w:pPr>
      <w:r>
        <w:rPr>
          <w:rFonts w:ascii="Times New Roman" w:cs="Times New Roman" w:eastAsia="Times New Roman" w:hAnsi="Times New Roman"/>
        </w:rPr>
        <w:t xml:space="preserve">Table 3. Channels: Gelbach (2016) decomposition of the ln GACI coefficient</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Adding industrial composition (manufacturing, services, agriculture shares), openness (trade, FDI) and urbanisation barely moves the GACI coefficient; all observable channels together account for under 10% of it. The composition effect, the channel emphasised in the pollution-haven literature, is not what drives the result. Combined with Table 2 this leaves technique as the operative channel.</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3830"/>
        <w:gridCol w:w="1970"/>
        <w:gridCol w:w="1970"/>
        <w:gridCol w:w="1970"/>
        <w:gridCol w:w="1970"/>
        <w:gridCol w:w="1970"/>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energy/GDP</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Base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-0.951 (0.434)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-0.453 (0.182)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9.530 (3.530)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-0.516 (0.216)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-0.464 (0.206)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Full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-0.951 (0.426)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-0.446 (0.172)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9.334 (3.427)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-0.506 (0.214)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-0.424 (0.204)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Explained (base - full)</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Composition (manuf., services, agric.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-0.031 (+3%)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-0.040 (+9%)</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-0.185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-0.011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-0.039 (+8%)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Openness (trade, FDI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+0.044 (-5%)</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+0.043 (-10%)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+0.194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+0.009 (-2%)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Urbanisation</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-0.014 (+1%)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-0.011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+0.187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-0.010 (+2%)</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3,108</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Income is in the base specification; the decomposition allocates the change in the ln GACI coefficient to mediator groups exactly (Gelbach 2016). Sample restricted to country-years with all mediators.</w:t>
      </w:r>
    </w:p>
    <w:p>
      <w:pPr>
        <w:pStyle w:val="Heading2"/>
        <w:pageBreakBefore/>
      </w:pPr>
      <w:r>
        <w:rPr>
          <w:rFonts w:ascii="Times New Roman" w:cs="Times New Roman" w:eastAsia="Times New Roman" w:hAnsi="Times New Roman"/>
        </w:rPr>
        <w:t xml:space="preserve">Table 4. Where does air connectivity clean? Goods-trading economies and income groups</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clean-connectivity effect lives in goods-producing economies: in countries with above-median merchandise trade in 1996 the GACI coefficients on NOx, renewables and CO2 intensity are large and significant, while in service economies they are zero or positive. By income, the SO2 effect is concentrated in the low-income tercile. Both patterns fit a story of technology and standards reaching industrial economies that still have abatement to install, and do not fit a tourism-pressure story.</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2462"/>
        <w:gridCol w:w="2462"/>
        <w:gridCol w:w="2462"/>
        <w:gridCol w:w="2462"/>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0.088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-3.313</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0.296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(0.431)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(3.952)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 goods economy</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-0.843</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-0.581**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16.376***</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-0.859***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(0.524)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(0.230)</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(4.674)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(0.245)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low-income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-0.782* (0.401)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-0.403 (0.407)</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0.246 (6.528)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-0.116 (0.349)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mid-income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0.202 (0.495)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0.588** (0.271)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-3.038 (6.244)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0.211 (0.190)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high-income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-0.161 (0.685)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-0.178 (0.275)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2.380 (5.369)</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0.009 (0.227)</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Goods economy = merchandise trade share of GDP above the 1996 cross-country median. Lower panel: ln GACI coefficient from separate regressions by 1996 income tercile.</w:t>
      </w:r>
    </w:p>
    <w:p>
      <w:pPr>
        <w:pStyle w:val="Heading2"/>
        <w:pageBreakBefore/>
      </w:pPr>
      <w:r>
        <w:rPr>
          <w:rFonts w:ascii="Times New Roman" w:cs="Times New Roman" w:eastAsia="Times New Roman" w:hAnsi="Times New Roman"/>
        </w:rPr>
        <w:t xml:space="preserve">Table 5. Instrumental-variable estimates: heritage × world tourism and air market access</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Instrumenting GACI with Feyrer-type air market access (first-stage F about 12) confirms the sign for every outcome and yields coefficients several times larger than OLS, as is typical when the regressor is a noisy within-year relative measure. The heritage-times-tourism instrument has no first-stage power in this sample and is used only in the over-identified model; the Sargan test does not reject for SO2, renewables and CO2 intensity but rejects for NOx. We treat the IV estimates as supporting evidence on direction, not as the preferred magnitudes.</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1231"/>
        <w:gridCol w:w="1231"/>
        <w:gridCol w:w="1231"/>
        <w:gridCol w:w="1231"/>
        <w:gridCol w:w="1231"/>
        <w:gridCol w:w="1231"/>
        <w:gridCol w:w="1231"/>
        <w:gridCol w:w="123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both</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both</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both</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Feyrer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both</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-5.843***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-6.035***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-4.321***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-4.759***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49.700**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51.421**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-2.264**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-2.312**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(2.199)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(2.164)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(1.567)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(1.596)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(23.368)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(24.907)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(1.035)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(1.025)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Sargan J p-value</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0.255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0.499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 (clustered)</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ln GACI instrumented by UNESCO natural/mixed heritage sites × world tourist arrivals (tourism) and Feyrer-type air market access (Feyrer), as in the GACI trade paper. The tourism instrument alone has no first-stage power in the unified sample (clustered F &lt; 1) and is reported only inside the over-identified model. Sargan J from the over-identified model.</w:t>
      </w:r>
    </w:p>
    <w:p>
      <w:pPr>
        <w:pStyle w:val="Heading2"/>
        <w:pageBreakBefore/>
      </w:pPr>
      <w:r>
        <w:rPr>
          <w:rFonts w:ascii="Times New Roman" w:cs="Times New Roman" w:eastAsia="Times New Roman" w:hAnsi="Times New Roman"/>
        </w:rPr>
        <w:t xml:space="preserve">Appendix Table 1a. Robustness of the ln GACI coefficient: ln SO2/GDP</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SO2 result survives adding capital-labour ratio and trade openness (Managi et al. controls) and a geographic sea-connectivity control, and is strongest in 1996–2009. It weakens and loses significance when the comparison is restricted within region-years or within income-group-years, when liner shipping connectivity (2006–) is added, and in 2010–2019. GACI is a relative, within-year index, so these stricter designs remove much of its variation; we report them as the boundary of what the country panel can identify.</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1231"/>
        <w:gridCol w:w="1231"/>
        <w:gridCol w:w="1231"/>
        <w:gridCol w:w="1231"/>
        <w:gridCol w:w="1231"/>
        <w:gridCol w:w="1231"/>
        <w:gridCol w:w="1231"/>
        <w:gridCol w:w="123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base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+K/L, trade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+sea MA</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+LSCI 06-</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region×yr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tercile×yr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1996-2009</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2010-2023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-0.917**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-0.732*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-1.096***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-0.434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(0.379)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(0.337)</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3,378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1,580</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1,958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1,467</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147</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114</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145</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K/L from PWT 11 (rnna/emp). Sea MA = geography-based sea market access; LSCI = UNCTAD liner shipping connectivity (2006–). Region×year and income-tercile×year replace year effects.</w:t>
      </w:r>
    </w:p>
    <w:p>
      <w:pPr>
        <w:pStyle w:val="Heading2"/>
        <w:pageBreakBefore/>
      </w:pPr>
      <w:r>
        <w:rPr>
          <w:rFonts w:ascii="Times New Roman" w:cs="Times New Roman" w:eastAsia="Times New Roman" w:hAnsi="Times New Roman"/>
        </w:rPr>
        <w:t xml:space="preserve">Appendix Table 1b. Robustness of the ln GACI coefficient: ln CO2/GDP</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CO2-intensity result is weaker and less stable than the SO2 result: it is robust to Managi-style controls and to the sea-connectivity control, becomes stronger with LSCI in the 2006+ window and in 2010–2019, but is zero under region-by-year or income-group-by-year effects. CO2 is the expected weak outcome of the mechanism: desulphurisation does not reduce CO2, and the only CO2 channel we find is energy efficiency (Table 1).</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1231"/>
        <w:gridCol w:w="1231"/>
        <w:gridCol w:w="1231"/>
        <w:gridCol w:w="1231"/>
        <w:gridCol w:w="1231"/>
        <w:gridCol w:w="1231"/>
        <w:gridCol w:w="1231"/>
        <w:gridCol w:w="123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base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+K/L, trade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+sea MA</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+LSCI 06-</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region×yr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tercile×yr</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1996-2009</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2010-2023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-0.392*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-0.306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-0.400***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-0.030</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-0.262**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(0.186)</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(0.128)</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3,378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1,580</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3,205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1,958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1,467</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Countries</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147</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114</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134</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145</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149</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 K/L from PWT 11 (rnna/emp). Sea MA = geography-based sea market access; LSCI = UNCTAD liner shipping connectivity (2006–). Region×year and income-tercile×year replace year effects.</w:t>
      </w:r>
    </w:p>
    <w:p>
      <w:pPr>
        <w:pStyle w:val="Heading2"/>
        <w:pageBreakBefore/>
      </w:pPr>
      <w:r>
        <w:rPr>
          <w:rFonts w:ascii="Times New Roman" w:cs="Times New Roman" w:eastAsia="Times New Roman" w:hAnsi="Times New Roman"/>
        </w:rPr>
        <w:t xml:space="preserve">Appendix Table 2. Alternative country aggregates of airport GACI</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Results are not an artefact of the aggregation rule. The seat-weighted mean of airport GACI (used throughout) and its level give the same picture; the unweighted mean across all airports is smaller and insignificant, because it dilutes hub airports with many small ones. Connectivity of the airports that carry traffic is what matters.</w:t>
      </w:r>
    </w:p>
    <w:tbl>
      <w:tblPr>
        <w:tblW w:type="dxa" w:w="13676"/>
        <w:tblBorders>
          <w:top w:val="single" w:color="auto" w:sz="4"/>
          <w:left w:val="single" w:color="auto" w:sz="4"/>
          <w:bottom w:val="single" w:color="auto" w:sz="4"/>
          <w:right w:val="single" w:color="auto" w:sz="4"/>
          <w:insideH w:val="single" w:color="auto" w:sz="4"/>
          <w:insideV w:val="single" w:color="auto" w:sz="4"/>
        </w:tblBorders>
      </w:tblPr>
      <w:tblGrid>
        <w:gridCol w:w="3830"/>
        <w:gridCol w:w="1641"/>
        <w:gridCol w:w="1641"/>
        <w:gridCol w:w="1641"/>
        <w:gridCol w:w="1641"/>
        <w:gridCol w:w="1641"/>
        <w:gridCol w:w="164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ln cwm</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cwm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mean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ln cwm</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cwm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mean level</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GACI aggregate</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-0.935** (0.381)</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-0.618** (0.298)</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-0.253 (0.280)</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-0.365* (0.203)</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-0.271* (0.143)</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-0.170 (0.112)</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3,425</w:t>
            </w:r>
          </w:p>
        </w:tc>
      </w:tr>
    </w:tbl>
    <w:p>
      <w:pPr>
        <w:spacing w:before="120"/>
      </w:pPr>
      <w:r>
        <w:rPr>
          <w:rFonts w:ascii="Times New Roman" w:cs="Times New Roman" w:eastAsia="Times New Roman" w:hAnsi="Times New Roman"/>
          <w:sz w:val="16"/>
          <w:szCs w:val="16"/>
        </w:rPr>
        <w:t xml:space="preserve">Notes: Unified sample: 149 countries, 1996–2019, country-years with all Table 1 outcomes and instruments observed. Country and year fixed effects; controls ln population, ln GDP per capita and its square. Standard errors clustered by country in parentheses. *, **, *** : 10, 5, 1%. ln GACI = log of seat-weighted mean airport GACI.</w:t>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493816a86ecafcbc3282d84d0d0ee4d84fb643.png"/><Relationship Id="rId8" Type="http://schemas.openxmlformats.org/officeDocument/2006/relationships/image" Target="media/49584c316d1e92328c79295b37aa16dad31df338.png"/><Relationship Id="rId9" Type="http://schemas.openxmlformats.org/officeDocument/2006/relationships/image" Target="media/489654894a718dbc548ad8817561ba28e60ddf4c.png"/><Relationship Id="rId10" Type="http://schemas.openxmlformats.org/officeDocument/2006/relationships/image" Target="media/d8d1f721d31fc46ee128fc92b4177773b7e8cb6b.png"/><Relationship Id="rId11" Type="http://schemas.openxmlformats.org/officeDocument/2006/relationships/image" Target="media/26fe75c4e6dffc62353421fbb252afff822693a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2026-10-04T02:08:34.204Z</dcterms:created>
  <dcterms:modified xsi:type="dcterms:W3CDTF">2026-10-04T02:08:34.212Z</dcterms:modified>
</cp:coreProperties>
</file>

<file path=docProps/custom.xml><?xml version="1.0" encoding="utf-8"?>
<Properties xmlns="http://schemas.openxmlformats.org/officeDocument/2006/custom-properties" xmlns:vt="http://schemas.openxmlformats.org/officeDocument/2006/docPropsVTypes"/>
</file>