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140 country-years with similar connectivity residuals. The downward slope in panel (a) is the Table 1 coefficient on SO2 intensity; panel (b) shows the same relation for SO2 per unit of oil burned, the emission-factor outcome of Table 2 that isolates the technique effect.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 per unit of oil CO2. Unified sample,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2019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6101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−0.94 to its observed change in ln GACI, SO2 emissions in the final year would have been about 19 Mt higher than observed, which is 28% of final-year SO2 in the sample and roughly half of the 37 Mt decline recorded between 1996 and 2019. The 95% band is wide, from 3 Mt (9% of the decline) to 41 Mt, because the elasticity is estimated with a standard error of 0.38. By region the implied reduction in SO2 intensity is 18–19% in Asia and Europe, 15% in the Middle East, 6–8% in Africa and Latin America; in tonnes it is dominated by China (7.2 Mt),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122</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all observable channels together account for under 10% of it. The composition effect, the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Lower panel: ln GACI coefficient from separate regressions by 1996 income tercile.</w:t>
      </w:r>
    </w:p>
    <w:p>
      <w:pPr>
        <w:pStyle w:val="Heading2"/>
        <w:pageBreakBefore/>
      </w:pPr>
      <w:r>
        <w:rPr>
          <w:rFonts w:ascii="Times New Roman" w:cs="Times New Roman" w:eastAsia="Times New Roman" w:hAnsi="Times New Roman"/>
        </w:rPr>
        <w:t xml:space="preserve">Table 5. Instrumental-variable estimates: heritage × world tourism and air market access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Instrumenting GACI with Feyrer-type air market access (first-stage F about 12) confirms the sign for every outcome and yields coefficients several times larger than OLS, as is typical when the regressor is a noisy within-year relative measure. The heritage-times-tourism instrument has no first-stage power in this sample and is used only in the over-identified model; the Sargan test does not reject for SO2, renewables and CO2 intensity but rejects for NOx. We treat the IV estimates as supporting evidence on direction, not as the preferred magnitudes.</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489654894a718dbc548ad8817561ba28e60ddf4c.png"/><Relationship Id="rId10" Type="http://schemas.openxmlformats.org/officeDocument/2006/relationships/image" Target="media/d8d1f721d31fc46ee128fc92b4177773b7e8cb6b.png"/><Relationship Id="rId11" Type="http://schemas.openxmlformats.org/officeDocument/2006/relationships/image" Target="media/0981fd5bbc59fae39bee775ca60836f0f256d2e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2026-10-04T02:08:57.891Z</dcterms:created>
  <dcterms:modified xsi:type="dcterms:W3CDTF">2026-10-04T02:08:57.891Z</dcterms:modified>
</cp:coreProperties>
</file>

<file path=docProps/custom.xml><?xml version="1.0" encoding="utf-8"?>
<Properties xmlns="http://schemas.openxmlformats.org/officeDocument/2006/custom-properties" xmlns:vt="http://schemas.openxmlformats.org/officeDocument/2006/docPropsVTypes"/>
</file>